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_Toc11418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_Toc11418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_Toc8983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_Toc8983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_Toc26486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_Toc26486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_Toc23431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_Toc23431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_Toc20925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_Toc20925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_Toc30220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_Toc30220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_Toc14775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_Toc14775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_Toc19614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_Toc19614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_Toc27428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</w:t>
          </w:r>
          <w:bookmarkStart w:id="13" w:name="_GoBack"/>
          <w:bookmarkEnd w:id="13"/>
          <w:r>
            <w:rPr>
              <w:rFonts w:hint="eastAsia"/>
            </w:rPr>
            <w:t>、 诚信度</w:t>
          </w:r>
          <w:r>
            <w:tab/>
          </w:r>
          <w:r>
            <w:fldChar w:fldCharType="begin"/>
          </w:r>
          <w:r>
            <w:instrText xml:space="preserve"> PAGEREF _Toc27428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_Toc30485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_Toc30485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_Toc5415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十一、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_Toc5415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_Toc19441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十二、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_Toc19441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_Toc12423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十三、 其他有必要的资质及补充资料</w:t>
          </w:r>
          <w:r>
            <w:tab/>
          </w:r>
          <w:r>
            <w:fldChar w:fldCharType="begin"/>
          </w:r>
          <w:r>
            <w:instrText xml:space="preserve"> PAGEREF _Toc12423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同时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提供可编辑的word版本及盖章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版。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141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8983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6486"/>
      <w:r>
        <w:rPr>
          <w:rFonts w:hint="eastAsia"/>
        </w:rPr>
        <w:t>实缴资本证明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23431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20925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5" w:name="_Toc30220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14775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19614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27428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30485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0" w:name="_Toc5415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近三年内（2019年-至今）3个以上精准投放案例说明性文件，单个案例合同金额不少于200万元，服务过国内外知名品牌，高端烈性酒类饮品优先。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19441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12423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zg5OWY1ZjJhOGI2M2NkODM4NGUzMGEzZjg0NGE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B194071"/>
    <w:rsid w:val="1D161399"/>
    <w:rsid w:val="24A55FD9"/>
    <w:rsid w:val="253B4663"/>
    <w:rsid w:val="2B3E5046"/>
    <w:rsid w:val="2C9850A2"/>
    <w:rsid w:val="2CDB56F5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A1960FE"/>
    <w:rsid w:val="5BE307CF"/>
    <w:rsid w:val="5F954E73"/>
    <w:rsid w:val="629D0701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1789</Words>
  <Characters>1816</Characters>
  <Lines>24</Lines>
  <Paragraphs>6</Paragraphs>
  <TotalTime>0</TotalTime>
  <ScaleCrop>false</ScaleCrop>
  <LinksUpToDate>false</LinksUpToDate>
  <CharactersWithSpaces>2278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小S</cp:lastModifiedBy>
  <dcterms:modified xsi:type="dcterms:W3CDTF">2022-11-29T09:30:03Z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