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hd w:val="clear" w:color="auto" w:fill="auto"/>
              <w:spacing w:line="360" w:lineRule="auto"/>
              <w:jc w:val="center"/>
              <w:rPr>
                <w:rFonts w:ascii="宋体" w:hAnsi="宋体"/>
                <w:color w:val="auto"/>
                <w:highlight w:val="none"/>
              </w:rPr>
            </w:pPr>
            <w:r>
              <w:rPr>
                <w:rFonts w:hint="eastAsia" w:ascii="宋体" w:hAnsi="宋体"/>
                <w:color w:val="auto"/>
                <w:highlight w:val="none"/>
              </w:rPr>
              <w:t>序号</w:t>
            </w:r>
          </w:p>
        </w:tc>
        <w:tc>
          <w:tcPr>
            <w:tcW w:w="2126" w:type="dxa"/>
            <w:noWrap w:val="0"/>
            <w:vAlign w:val="center"/>
          </w:tcPr>
          <w:p>
            <w:pPr>
              <w:shd w:val="clear" w:color="auto" w:fill="auto"/>
              <w:spacing w:line="360" w:lineRule="auto"/>
              <w:jc w:val="center"/>
              <w:rPr>
                <w:rFonts w:ascii="宋体" w:hAnsi="宋体"/>
                <w:color w:val="auto"/>
                <w:highlight w:val="none"/>
              </w:rPr>
            </w:pPr>
            <w:r>
              <w:rPr>
                <w:rFonts w:hint="eastAsia" w:ascii="宋体" w:hAnsi="宋体"/>
                <w:color w:val="auto"/>
                <w:highlight w:val="none"/>
              </w:rPr>
              <w:t>内容</w:t>
            </w:r>
          </w:p>
        </w:tc>
        <w:tc>
          <w:tcPr>
            <w:tcW w:w="6802" w:type="dxa"/>
            <w:noWrap w:val="0"/>
            <w:vAlign w:val="center"/>
          </w:tcPr>
          <w:p>
            <w:pPr>
              <w:shd w:val="clear" w:color="auto" w:fill="auto"/>
              <w:spacing w:line="360" w:lineRule="auto"/>
              <w:jc w:val="center"/>
              <w:rPr>
                <w:rFonts w:ascii="宋体" w:hAnsi="宋体"/>
                <w:color w:val="auto"/>
                <w:highlight w:val="none"/>
              </w:rPr>
            </w:pPr>
            <w:r>
              <w:rPr>
                <w:rFonts w:hint="eastAsia" w:ascii="宋体" w:hAnsi="宋体"/>
                <w:color w:val="auto"/>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hd w:val="clear" w:color="auto" w:fill="auto"/>
              <w:spacing w:line="320" w:lineRule="exact"/>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pPr>
              <w:shd w:val="clear" w:color="auto" w:fill="auto"/>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法定代表人身份证明书或授权委托书</w:t>
            </w:r>
          </w:p>
        </w:tc>
        <w:tc>
          <w:tcPr>
            <w:tcW w:w="6802" w:type="dxa"/>
            <w:noWrap w:val="0"/>
            <w:vAlign w:val="center"/>
          </w:tcPr>
          <w:p>
            <w:pPr>
              <w:shd w:val="clear" w:color="auto" w:fill="auto"/>
              <w:spacing w:line="320" w:lineRule="exact"/>
              <w:rPr>
                <w:rFonts w:ascii="宋体" w:hAnsi="宋体"/>
                <w:color w:val="auto"/>
                <w:highlight w:val="none"/>
              </w:rPr>
            </w:pPr>
            <w:r>
              <w:rPr>
                <w:rFonts w:hint="eastAsia" w:ascii="宋体" w:hAnsi="宋体"/>
                <w:color w:val="auto"/>
                <w:highlight w:val="none"/>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2</w:t>
            </w:r>
          </w:p>
        </w:tc>
        <w:tc>
          <w:tcPr>
            <w:tcW w:w="2126" w:type="dxa"/>
            <w:noWrap w:val="0"/>
            <w:vAlign w:val="center"/>
          </w:tcPr>
          <w:p>
            <w:pPr>
              <w:shd w:val="clear" w:color="auto" w:fill="auto"/>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企业法人营业执照</w:t>
            </w:r>
          </w:p>
        </w:tc>
        <w:tc>
          <w:tcPr>
            <w:tcW w:w="6802"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color w:val="auto"/>
                <w:highlight w:val="none"/>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3</w:t>
            </w:r>
          </w:p>
        </w:tc>
        <w:tc>
          <w:tcPr>
            <w:tcW w:w="2126" w:type="dxa"/>
            <w:noWrap w:val="0"/>
            <w:vAlign w:val="center"/>
          </w:tcPr>
          <w:p>
            <w:pPr>
              <w:shd w:val="clear" w:color="auto" w:fill="auto"/>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企业规模实力</w:t>
            </w:r>
          </w:p>
        </w:tc>
        <w:tc>
          <w:tcPr>
            <w:tcW w:w="6802"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eastAsia="宋体" w:cs="Times New Roman"/>
                <w:color w:val="auto"/>
                <w:highlight w:val="none"/>
              </w:rPr>
              <w:t>企业注册资本不低于人民币</w:t>
            </w:r>
            <w:r>
              <w:rPr>
                <w:rFonts w:hint="eastAsia" w:ascii="宋体" w:hAnsi="宋体" w:eastAsia="宋体" w:cs="Times New Roman"/>
                <w:color w:val="auto"/>
                <w:highlight w:val="none"/>
                <w:lang w:val="en-US" w:eastAsia="zh-CN"/>
              </w:rPr>
              <w:t>10</w:t>
            </w:r>
            <w:r>
              <w:rPr>
                <w:rFonts w:hint="eastAsia" w:ascii="宋体" w:hAnsi="宋体" w:eastAsia="宋体" w:cs="Times New Roman"/>
                <w:color w:val="auto"/>
                <w:highlight w:val="none"/>
              </w:rPr>
              <w:t>000万元且实缴资本不低于</w:t>
            </w: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000万元。【提供实缴资本证明复印件或扫描件】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4</w:t>
            </w:r>
          </w:p>
        </w:tc>
        <w:tc>
          <w:tcPr>
            <w:tcW w:w="2126" w:type="dxa"/>
            <w:noWrap w:val="0"/>
            <w:vAlign w:val="center"/>
          </w:tcPr>
          <w:p>
            <w:pPr>
              <w:shd w:val="clear" w:color="auto" w:fill="auto"/>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企业资质</w:t>
            </w:r>
          </w:p>
        </w:tc>
        <w:tc>
          <w:tcPr>
            <w:tcW w:w="6802"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eastAsia="宋体" w:cs="Times New Roman"/>
                <w:color w:val="auto"/>
                <w:highlight w:val="none"/>
              </w:rPr>
              <w:t>市政公用工程施工总承包</w:t>
            </w:r>
            <w:r>
              <w:rPr>
                <w:rFonts w:hint="eastAsia" w:ascii="宋体" w:hAnsi="宋体" w:eastAsia="宋体" w:cs="Times New Roman"/>
                <w:color w:val="auto"/>
                <w:highlight w:val="none"/>
                <w:lang w:val="en-US" w:eastAsia="zh-CN"/>
              </w:rPr>
              <w:t>三</w:t>
            </w:r>
            <w:r>
              <w:rPr>
                <w:rFonts w:hint="eastAsia" w:ascii="宋体" w:hAnsi="宋体" w:eastAsia="宋体" w:cs="Times New Roman"/>
                <w:color w:val="auto"/>
                <w:highlight w:val="none"/>
              </w:rPr>
              <w:t>级或机电工程施工总承包一级</w:t>
            </w:r>
            <w:r>
              <w:rPr>
                <w:rFonts w:hint="eastAsia" w:ascii="宋体" w:hAnsi="宋体" w:eastAsia="宋体" w:cs="Times New Roman"/>
                <w:color w:val="auto"/>
                <w:highlight w:val="none"/>
                <w:lang w:val="en-US" w:eastAsia="zh-CN"/>
              </w:rPr>
              <w:t>或环保工程专业承包一级</w:t>
            </w:r>
            <w:r>
              <w:rPr>
                <w:rFonts w:hint="eastAsia" w:ascii="宋体" w:hAnsi="宋体" w:eastAsia="宋体" w:cs="Times New Roman"/>
                <w:color w:val="auto"/>
                <w:highlight w:val="none"/>
              </w:rPr>
              <w:t>及以上资质企业</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【提供</w:t>
            </w:r>
            <w:r>
              <w:rPr>
                <w:rFonts w:hint="eastAsia" w:ascii="宋体" w:hAnsi="宋体" w:eastAsia="宋体" w:cs="Times New Roman"/>
                <w:color w:val="auto"/>
                <w:highlight w:val="none"/>
                <w:lang w:val="en-US" w:eastAsia="zh-CN"/>
              </w:rPr>
              <w:t>资质证书</w:t>
            </w:r>
            <w:r>
              <w:rPr>
                <w:rFonts w:hint="eastAsia" w:ascii="宋体" w:hAnsi="宋体" w:eastAsia="宋体" w:cs="Times New Roman"/>
                <w:color w:val="auto"/>
                <w:highlight w:val="none"/>
              </w:rPr>
              <w:t>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5</w:t>
            </w:r>
          </w:p>
        </w:tc>
        <w:tc>
          <w:tcPr>
            <w:tcW w:w="2126" w:type="dxa"/>
            <w:noWrap w:val="0"/>
            <w:vAlign w:val="center"/>
          </w:tcPr>
          <w:p>
            <w:pPr>
              <w:shd w:val="clear" w:color="auto" w:fill="auto"/>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企业基础管理能力</w:t>
            </w:r>
          </w:p>
        </w:tc>
        <w:tc>
          <w:tcPr>
            <w:tcW w:w="6802"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color w:val="auto"/>
                <w:highlight w:val="none"/>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6</w:t>
            </w:r>
          </w:p>
        </w:tc>
        <w:tc>
          <w:tcPr>
            <w:tcW w:w="2126" w:type="dxa"/>
            <w:noWrap w:val="0"/>
            <w:vAlign w:val="center"/>
          </w:tcPr>
          <w:p>
            <w:pPr>
              <w:shd w:val="clear" w:color="auto" w:fill="auto"/>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企业财务状况</w:t>
            </w:r>
          </w:p>
        </w:tc>
        <w:tc>
          <w:tcPr>
            <w:tcW w:w="6802"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color w:val="auto"/>
                <w:highlight w:val="none"/>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7</w:t>
            </w:r>
          </w:p>
        </w:tc>
        <w:tc>
          <w:tcPr>
            <w:tcW w:w="2126" w:type="dxa"/>
            <w:noWrap w:val="0"/>
            <w:vAlign w:val="center"/>
          </w:tcPr>
          <w:p>
            <w:pPr>
              <w:shd w:val="clear" w:color="auto" w:fill="auto"/>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企业诚信度</w:t>
            </w:r>
          </w:p>
        </w:tc>
        <w:tc>
          <w:tcPr>
            <w:tcW w:w="6802"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8</w:t>
            </w:r>
          </w:p>
        </w:tc>
        <w:tc>
          <w:tcPr>
            <w:tcW w:w="2126" w:type="dxa"/>
            <w:noWrap w:val="0"/>
            <w:vAlign w:val="center"/>
          </w:tcPr>
          <w:p>
            <w:pPr>
              <w:shd w:val="clear" w:color="auto" w:fill="auto"/>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拟派项目经理、技术负责人资质等级及要求</w:t>
            </w:r>
          </w:p>
        </w:tc>
        <w:tc>
          <w:tcPr>
            <w:tcW w:w="6802" w:type="dxa"/>
            <w:noWrap w:val="0"/>
            <w:vAlign w:val="center"/>
          </w:tcPr>
          <w:p>
            <w:pPr>
              <w:pStyle w:val="3"/>
              <w:shd w:val="clear" w:color="auto" w:fill="auto"/>
              <w:spacing w:before="0" w:after="0" w:line="320" w:lineRule="exact"/>
              <w:rPr>
                <w:rFonts w:ascii="仿宋" w:hAnsi="仿宋" w:eastAsia="仿宋"/>
                <w:color w:val="auto"/>
                <w:sz w:val="24"/>
                <w:highlight w:val="none"/>
              </w:rPr>
            </w:pPr>
            <w:r>
              <w:rPr>
                <w:rFonts w:hint="eastAsia" w:ascii="Times New Roman" w:hAnsi="Times New Roman" w:eastAsia="宋体" w:cs="Times New Roman"/>
                <w:b w:val="0"/>
                <w:caps w:val="0"/>
                <w:color w:val="auto"/>
                <w:kern w:val="2"/>
                <w:sz w:val="21"/>
                <w:szCs w:val="24"/>
                <w:highlight w:val="none"/>
                <w:lang w:val="en-US" w:eastAsia="zh-CN" w:bidi="ar-SA"/>
              </w:rPr>
              <w:t>拟派项目经理和技术负责人其中一人须具有机电工程或市政公用工程一级建造师及以上资格证书；拟派项目经理和技术负责人均须具有类似项目业绩（类似业绩的认定标准见本公告第4.6.1条）；拟派项目经理和技术负责人均在投标人单位购买6个月以上社保。【</w:t>
            </w:r>
            <w:r>
              <w:rPr>
                <w:rFonts w:hint="eastAsia" w:ascii="宋体" w:hAnsi="宋体"/>
                <w:b w:val="0"/>
                <w:bCs/>
                <w:color w:val="auto"/>
                <w:highlight w:val="none"/>
              </w:rPr>
              <w:t>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9</w:t>
            </w:r>
          </w:p>
        </w:tc>
        <w:tc>
          <w:tcPr>
            <w:tcW w:w="2126" w:type="dxa"/>
            <w:noWrap w:val="0"/>
            <w:vAlign w:val="center"/>
          </w:tcPr>
          <w:p>
            <w:pPr>
              <w:shd w:val="clear" w:color="auto" w:fill="auto"/>
              <w:spacing w:line="320" w:lineRule="exact"/>
              <w:rPr>
                <w:rFonts w:hint="eastAsia" w:ascii="微软雅黑" w:hAnsi="微软雅黑" w:eastAsia="微软雅黑"/>
                <w:color w:val="auto"/>
                <w:highlight w:val="none"/>
              </w:rPr>
            </w:pPr>
            <w:r>
              <w:rPr>
                <w:rFonts w:hint="eastAsia" w:ascii="微软雅黑" w:hAnsi="微软雅黑" w:eastAsia="微软雅黑"/>
                <w:color w:val="auto"/>
                <w:highlight w:val="none"/>
              </w:rPr>
              <w:t>拟派</w:t>
            </w:r>
            <w:r>
              <w:rPr>
                <w:rFonts w:hint="eastAsia" w:ascii="微软雅黑" w:hAnsi="微软雅黑" w:eastAsia="微软雅黑"/>
                <w:color w:val="auto"/>
                <w:highlight w:val="none"/>
                <w:shd w:val="clear" w:color="auto" w:fill="FFFFFF"/>
              </w:rPr>
              <w:t>项目组成员</w:t>
            </w:r>
            <w:r>
              <w:rPr>
                <w:rFonts w:hint="eastAsia" w:ascii="微软雅黑" w:hAnsi="微软雅黑" w:eastAsia="微软雅黑"/>
                <w:color w:val="auto"/>
                <w:highlight w:val="none"/>
              </w:rPr>
              <w:t>资质</w:t>
            </w:r>
          </w:p>
        </w:tc>
        <w:tc>
          <w:tcPr>
            <w:tcW w:w="6802"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color w:val="auto"/>
                <w:highlight w:val="none"/>
              </w:rPr>
              <w:t>项目组其他主要管理人员（安全员、资料员等）持有相关专业的有效证件、在投标人单位购买6个月以上社保。【提供相关证件证明复印件或扫描件】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hint="eastAsia" w:ascii="宋体" w:hAnsi="宋体"/>
                <w:color w:val="auto"/>
                <w:highlight w:val="none"/>
              </w:rPr>
              <w:t>10</w:t>
            </w:r>
          </w:p>
        </w:tc>
        <w:tc>
          <w:tcPr>
            <w:tcW w:w="2126" w:type="dxa"/>
            <w:noWrap w:val="0"/>
            <w:vAlign w:val="center"/>
          </w:tcPr>
          <w:p>
            <w:pPr>
              <w:shd w:val="clear" w:color="auto" w:fill="auto"/>
              <w:spacing w:line="320" w:lineRule="exact"/>
              <w:rPr>
                <w:rFonts w:hint="eastAsia" w:ascii="宋体" w:hAnsi="宋体"/>
                <w:color w:val="auto"/>
                <w:highlight w:val="none"/>
              </w:rPr>
            </w:pPr>
            <w:r>
              <w:rPr>
                <w:rFonts w:hint="eastAsia" w:ascii="宋体" w:hAnsi="宋体"/>
                <w:color w:val="auto"/>
                <w:highlight w:val="none"/>
              </w:rPr>
              <w:t>企业类似工程业绩</w:t>
            </w:r>
          </w:p>
        </w:tc>
        <w:tc>
          <w:tcPr>
            <w:tcW w:w="6802" w:type="dxa"/>
            <w:noWrap w:val="0"/>
            <w:vAlign w:val="center"/>
          </w:tcPr>
          <w:p>
            <w:pPr>
              <w:shd w:val="clear" w:color="auto" w:fill="auto"/>
              <w:spacing w:line="320" w:lineRule="exact"/>
              <w:rPr>
                <w:rFonts w:hint="eastAsia" w:ascii="Times New Roman" w:hAnsi="Times New Roman" w:eastAsia="宋体" w:cs="Times New Roman"/>
                <w:color w:val="auto"/>
                <w:highlight w:val="none"/>
              </w:rPr>
            </w:pPr>
            <w:r>
              <w:rPr>
                <w:rFonts w:hint="eastAsia"/>
                <w:color w:val="auto"/>
                <w:highlight w:val="none"/>
                <w:lang w:val="en-US" w:eastAsia="zh-CN"/>
              </w:rPr>
              <w:t>1、业绩要求：</w:t>
            </w:r>
            <w:r>
              <w:rPr>
                <w:rFonts w:hint="eastAsia"/>
                <w:color w:val="auto"/>
                <w:highlight w:val="none"/>
              </w:rPr>
              <w:t>投标截止日前5年内，指2018年1月1日起至投标截止日止应承担过</w:t>
            </w:r>
            <w:r>
              <w:rPr>
                <w:rFonts w:hint="eastAsia"/>
                <w:color w:val="auto"/>
                <w:highlight w:val="none"/>
                <w:lang w:val="en-US" w:eastAsia="zh-CN"/>
              </w:rPr>
              <w:t>新建/扩建至少</w:t>
            </w:r>
            <w:r>
              <w:rPr>
                <w:rFonts w:hint="eastAsia"/>
                <w:color w:val="auto"/>
                <w:highlight w:val="none"/>
              </w:rPr>
              <w:t>1个日处理</w:t>
            </w:r>
            <w:r>
              <w:rPr>
                <w:rFonts w:hint="eastAsia"/>
                <w:color w:val="auto"/>
                <w:highlight w:val="none"/>
                <w:lang w:val="en-US" w:eastAsia="zh-CN"/>
              </w:rPr>
              <w:t>量</w:t>
            </w:r>
            <w:r>
              <w:rPr>
                <w:rFonts w:hint="eastAsia"/>
                <w:color w:val="auto"/>
                <w:highlight w:val="none"/>
              </w:rPr>
              <w:t>10000m³及以上的污水处理厂业绩（须包含工艺设备采购及安装的施工范围，已完成项目业绩认定时间以竣工验收证明材料上的竣</w:t>
            </w:r>
            <w:r>
              <w:rPr>
                <w:rFonts w:hint="eastAsia" w:ascii="Times New Roman" w:hAnsi="Times New Roman" w:eastAsia="宋体" w:cs="Times New Roman"/>
                <w:color w:val="auto"/>
                <w:highlight w:val="none"/>
              </w:rPr>
              <w:t>工时间为准，正在施工或新承接项目业绩认定时间以合同协议书签订时间为准【提供业绩项目中标通知书、合同书（施工范围、金额、时间可见）及竣工验收证明或发票复印件】。</w:t>
            </w:r>
          </w:p>
          <w:p>
            <w:pPr>
              <w:shd w:val="clear" w:color="auto" w:fill="auto"/>
              <w:spacing w:line="320" w:lineRule="exact"/>
              <w:rPr>
                <w:rFonts w:hint="default" w:eastAsia="宋体"/>
                <w:color w:val="auto"/>
                <w:highlight w:val="none"/>
                <w:lang w:val="en-US" w:eastAsia="zh-CN"/>
              </w:rPr>
            </w:pPr>
            <w:r>
              <w:rPr>
                <w:rFonts w:hint="eastAsia" w:ascii="Times New Roman" w:hAnsi="Times New Roman" w:eastAsia="宋体" w:cs="Times New Roman"/>
                <w:b/>
                <w:bCs/>
                <w:color w:val="auto"/>
                <w:highlight w:val="none"/>
                <w:lang w:val="en-US" w:eastAsia="zh-CN"/>
              </w:rPr>
              <w:t>2、业绩考察：招标人会随机对投标人提供的其中1例业绩进行考察，对考察不合格的投标人将被拒绝（详见投标预审资料十五）。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1</w:t>
            </w:r>
          </w:p>
        </w:tc>
        <w:tc>
          <w:tcPr>
            <w:tcW w:w="2126" w:type="dxa"/>
            <w:noWrap w:val="0"/>
            <w:vAlign w:val="center"/>
          </w:tcPr>
          <w:p>
            <w:pPr>
              <w:shd w:val="clear" w:color="auto" w:fill="auto"/>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投标要求</w:t>
            </w:r>
          </w:p>
        </w:tc>
        <w:tc>
          <w:tcPr>
            <w:tcW w:w="6802" w:type="dxa"/>
            <w:noWrap w:val="0"/>
            <w:vAlign w:val="center"/>
          </w:tcPr>
          <w:p>
            <w:pPr>
              <w:shd w:val="clear" w:color="auto" w:fill="auto"/>
              <w:spacing w:line="320" w:lineRule="exact"/>
              <w:rPr>
                <w:rFonts w:ascii="宋体" w:hAnsi="宋体"/>
                <w:color w:val="auto"/>
                <w:highlight w:val="none"/>
              </w:rPr>
            </w:pPr>
            <w:r>
              <w:rPr>
                <w:rFonts w:hint="eastAsia" w:ascii="宋体" w:hAnsi="宋体"/>
                <w:color w:val="auto"/>
                <w:highlight w:val="none"/>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hd w:val="clear" w:color="auto" w:fill="auto"/>
              <w:spacing w:line="320" w:lineRule="exact"/>
              <w:jc w:val="center"/>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2</w:t>
            </w:r>
          </w:p>
        </w:tc>
        <w:tc>
          <w:tcPr>
            <w:tcW w:w="2126" w:type="dxa"/>
            <w:noWrap w:val="0"/>
            <w:vAlign w:val="center"/>
          </w:tcPr>
          <w:p>
            <w:pPr>
              <w:shd w:val="clear" w:color="auto" w:fill="auto"/>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其他</w:t>
            </w:r>
          </w:p>
        </w:tc>
        <w:tc>
          <w:tcPr>
            <w:tcW w:w="6802" w:type="dxa"/>
            <w:noWrap w:val="0"/>
            <w:vAlign w:val="center"/>
          </w:tcPr>
          <w:p>
            <w:pPr>
              <w:shd w:val="clear" w:color="auto" w:fill="auto"/>
              <w:spacing w:line="320" w:lineRule="exact"/>
              <w:rPr>
                <w:rFonts w:ascii="宋体" w:hAnsi="宋体"/>
                <w:color w:val="auto"/>
                <w:highlight w:val="none"/>
              </w:rPr>
            </w:pPr>
            <w:r>
              <w:rPr>
                <w:rFonts w:hint="eastAsia" w:ascii="宋体" w:hAnsi="宋体"/>
                <w:color w:val="auto"/>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hd w:val="clear" w:color="auto" w:fill="auto"/>
        <w:spacing w:line="360" w:lineRule="exact"/>
        <w:ind w:left="480" w:leftChars="-2" w:hanging="484" w:hangingChars="202"/>
        <w:rPr>
          <w:rFonts w:ascii="等线" w:hAnsi="等线" w:eastAsia="等线" w:cs="等线"/>
          <w:color w:val="auto"/>
          <w:sz w:val="24"/>
          <w:highlight w:val="none"/>
        </w:rPr>
      </w:pPr>
    </w:p>
    <w:p>
      <w:pPr>
        <w:shd w:val="clear" w:color="auto" w:fill="auto"/>
        <w:spacing w:line="360" w:lineRule="exact"/>
        <w:ind w:left="420" w:leftChars="-2" w:hanging="424" w:hangingChars="202"/>
        <w:rPr>
          <w:rFonts w:ascii="等线" w:hAnsi="等线" w:eastAsia="等线" w:cs="等线"/>
          <w:b/>
          <w:color w:val="auto"/>
          <w:szCs w:val="21"/>
          <w:highlight w:val="none"/>
        </w:rPr>
      </w:pPr>
      <w:r>
        <w:rPr>
          <w:rFonts w:hint="eastAsia" w:ascii="等线" w:hAnsi="等线" w:eastAsia="等线" w:cs="等线"/>
          <w:color w:val="auto"/>
          <w:szCs w:val="21"/>
          <w:highlight w:val="none"/>
        </w:rPr>
        <w:t>注：1、投标人不满足上述资格条件中的任一项或</w:t>
      </w:r>
      <w:r>
        <w:rPr>
          <w:rFonts w:hint="eastAsia" w:ascii="等线" w:hAnsi="等线" w:eastAsia="等线" w:cs="等线"/>
          <w:b/>
          <w:color w:val="auto"/>
          <w:szCs w:val="21"/>
          <w:highlight w:val="none"/>
        </w:rPr>
        <w:t>在本项目涉及的相关行业有不良记录，以及曾为招标人提供相关服务但被评估为不合格或存在不良履约记录的，其投标将被拒绝。</w:t>
      </w:r>
    </w:p>
    <w:p>
      <w:pPr>
        <w:shd w:val="clear" w:color="auto" w:fill="auto"/>
        <w:spacing w:line="360" w:lineRule="exact"/>
        <w:ind w:left="420" w:leftChars="198" w:hanging="4" w:hangingChars="2"/>
        <w:jc w:val="left"/>
        <w:rPr>
          <w:rFonts w:ascii="等线" w:hAnsi="等线" w:eastAsia="等线" w:cs="等线"/>
          <w:color w:val="auto"/>
          <w:szCs w:val="21"/>
          <w:highlight w:val="none"/>
        </w:rPr>
      </w:pPr>
      <w:r>
        <w:rPr>
          <w:rFonts w:hint="eastAsia" w:ascii="等线" w:hAnsi="等线" w:eastAsia="等线" w:cs="等线"/>
          <w:color w:val="auto"/>
          <w:szCs w:val="21"/>
          <w:highlight w:val="none"/>
        </w:rPr>
        <w:t>2、投标人提交的上述资料需真实、有效，且文字清晰、可辨认。所有资料每页均需加盖投标人单位公章，原件核查。</w:t>
      </w:r>
    </w:p>
    <w:p>
      <w:pPr>
        <w:shd w:val="clear" w:color="auto" w:fill="auto"/>
        <w:spacing w:line="360" w:lineRule="exact"/>
        <w:ind w:left="420" w:leftChars="198" w:hanging="4" w:hangingChars="2"/>
        <w:jc w:val="left"/>
        <w:rPr>
          <w:rFonts w:hint="eastAsia"/>
          <w:color w:val="auto"/>
          <w:highlight w:val="none"/>
        </w:rPr>
      </w:pPr>
      <w:r>
        <w:rPr>
          <w:rFonts w:hint="eastAsia" w:ascii="等线" w:hAnsi="等线" w:eastAsia="等线" w:cs="等线"/>
          <w:color w:val="auto"/>
          <w:szCs w:val="21"/>
          <w:highlight w:val="none"/>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257A1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after="120"/>
      <w:ind w:firstLine="0" w:firstLineChars="0"/>
      <w:outlineLvl w:val="2"/>
    </w:pPr>
    <w:rPr>
      <w:b/>
      <w:bCs/>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2023-07-11T06:20:14Z</dcterms:created>
  <dc:creator>Administrator</dc:creator>
  <cp:lastModifiedBy>Administrator</cp:lastModifiedBy>
  <dcterms:modified xsi:type="dcterms:W3CDTF">2023-07-11T06:20:42Z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9ED6A70F583D4B31ACEF64CBD264F2BF_12</vt:lpwstr>
  </property>
</Properties>
</file>