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adjustRightInd w:val="0"/>
        <w:snapToGrid w:val="0"/>
        <w:spacing w:line="360" w:lineRule="auto"/>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附件二：</w:t>
      </w:r>
    </w:p>
    <w:p>
      <w:pPr>
        <w:shd w:val="clear" w:color="auto" w:fill="auto"/>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舍得酒业股份有限公司</w:t>
      </w:r>
    </w:p>
    <w:p>
      <w:pPr>
        <w:shd w:val="clear" w:color="auto" w:fill="auto"/>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投标预审资料</w:t>
      </w:r>
      <w:bookmarkStart w:id="22" w:name="_GoBack"/>
      <w:bookmarkEnd w:id="22"/>
    </w:p>
    <w:p>
      <w:pPr>
        <w:shd w:val="clear" w:color="auto" w:fill="auto"/>
        <w:adjustRightInd w:val="0"/>
        <w:snapToGrid w:val="0"/>
        <w:spacing w:line="360" w:lineRule="auto"/>
        <w:jc w:val="center"/>
        <w:rPr>
          <w:rFonts w:ascii="仿宋" w:hAnsi="仿宋" w:eastAsia="仿宋"/>
          <w:color w:val="auto"/>
          <w:sz w:val="32"/>
          <w:szCs w:val="32"/>
          <w:highlight w:val="none"/>
        </w:rPr>
      </w:pPr>
    </w:p>
    <w:p>
      <w:pPr>
        <w:shd w:val="clear" w:color="auto" w:fill="auto"/>
        <w:adjustRightInd w:val="0"/>
        <w:snapToGrid w:val="0"/>
        <w:spacing w:line="360" w:lineRule="auto"/>
        <w:jc w:val="center"/>
        <w:rPr>
          <w:rFonts w:ascii="仿宋" w:hAnsi="仿宋" w:eastAsia="仿宋"/>
          <w:color w:val="auto"/>
          <w:sz w:val="32"/>
          <w:szCs w:val="32"/>
          <w:highlight w:val="none"/>
        </w:rPr>
      </w:pP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rPr>
        <w:t>项目名称：</w:t>
      </w: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rPr>
        <w:t>供应商名称：</w:t>
      </w: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pPr>
    </w:p>
    <w:p>
      <w:pPr>
        <w:shd w:val="clear" w:color="auto" w:fill="auto"/>
        <w:adjustRightInd w:val="0"/>
        <w:snapToGrid w:val="0"/>
        <w:spacing w:line="360" w:lineRule="auto"/>
        <w:ind w:firstLine="1680" w:firstLineChars="525"/>
        <w:jc w:val="left"/>
        <w:rPr>
          <w:rFonts w:ascii="仿宋" w:hAnsi="仿宋" w:eastAsia="仿宋"/>
          <w:color w:val="auto"/>
          <w:sz w:val="32"/>
          <w:szCs w:val="32"/>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olor w:val="auto"/>
          <w:sz w:val="32"/>
          <w:szCs w:val="32"/>
          <w:highlight w:val="none"/>
        </w:rPr>
        <w:t>日期：</w:t>
      </w:r>
    </w:p>
    <w:p>
      <w:pPr>
        <w:shd w:val="clear" w:color="auto" w:fill="auto"/>
        <w:spacing w:line="48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pPr>
        <w:pStyle w:val="7"/>
        <w:shd w:val="clear" w:color="auto" w:fill="auto"/>
        <w:tabs>
          <w:tab w:val="right" w:leader="dot" w:pos="8306"/>
        </w:tabs>
        <w:rPr>
          <w:color w:val="auto"/>
          <w:highlight w:val="none"/>
        </w:rPr>
      </w:pPr>
      <w:r>
        <w:rPr>
          <w:rFonts w:hint="eastAsia" w:ascii="仿宋" w:hAnsi="仿宋" w:cs="仿宋"/>
          <w:b/>
          <w:bCs/>
          <w:color w:val="auto"/>
          <w:szCs w:val="28"/>
          <w:highlight w:val="none"/>
        </w:rPr>
        <w:fldChar w:fldCharType="begin"/>
      </w:r>
      <w:r>
        <w:rPr>
          <w:rFonts w:hint="eastAsia" w:ascii="仿宋" w:hAnsi="仿宋" w:cs="仿宋"/>
          <w:b/>
          <w:bCs/>
          <w:color w:val="auto"/>
          <w:szCs w:val="28"/>
          <w:highlight w:val="none"/>
        </w:rPr>
        <w:instrText xml:space="preserve">TOC \o "1-3" \h \u </w:instrText>
      </w:r>
      <w:r>
        <w:rPr>
          <w:rFonts w:hint="eastAsia" w:ascii="仿宋" w:hAnsi="仿宋" w:cs="仿宋"/>
          <w:b/>
          <w:bCs/>
          <w:color w:val="auto"/>
          <w:szCs w:val="28"/>
          <w:highlight w:val="none"/>
        </w:rPr>
        <w:fldChar w:fldCharType="separate"/>
      </w:r>
      <w:r>
        <w:rPr>
          <w:rFonts w:hint="eastAsia" w:ascii="仿宋" w:hAnsi="仿宋" w:cs="仿宋"/>
          <w:bCs/>
          <w:color w:val="auto"/>
          <w:szCs w:val="28"/>
          <w:highlight w:val="none"/>
        </w:rPr>
        <w:fldChar w:fldCharType="begin"/>
      </w:r>
      <w:r>
        <w:rPr>
          <w:rFonts w:hint="eastAsia" w:ascii="仿宋" w:hAnsi="仿宋" w:cs="仿宋"/>
          <w:bCs/>
          <w:color w:val="auto"/>
          <w:szCs w:val="28"/>
          <w:highlight w:val="none"/>
        </w:rPr>
        <w:instrText xml:space="preserve"> HYPERLINK \l _Toc12075 </w:instrText>
      </w:r>
      <w:r>
        <w:rPr>
          <w:rFonts w:hint="eastAsia" w:ascii="仿宋" w:hAnsi="仿宋" w:cs="仿宋"/>
          <w:bCs/>
          <w:color w:val="auto"/>
          <w:szCs w:val="28"/>
          <w:highlight w:val="none"/>
        </w:rPr>
        <w:fldChar w:fldCharType="separate"/>
      </w:r>
      <w:r>
        <w:rPr>
          <w:rFonts w:hint="eastAsia"/>
          <w:color w:val="auto"/>
          <w:highlight w:val="none"/>
        </w:rPr>
        <w:t>一、 采购项目供应商资格审核明细表</w:t>
      </w:r>
      <w:r>
        <w:rPr>
          <w:color w:val="auto"/>
          <w:highlight w:val="none"/>
        </w:rPr>
        <w:tab/>
      </w:r>
      <w:r>
        <w:rPr>
          <w:color w:val="auto"/>
          <w:highlight w:val="none"/>
        </w:rPr>
        <w:fldChar w:fldCharType="begin"/>
      </w:r>
      <w:r>
        <w:rPr>
          <w:color w:val="auto"/>
          <w:highlight w:val="none"/>
        </w:rPr>
        <w:instrText xml:space="preserve"> PAGEREF _Toc12075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cs="仿宋"/>
          <w:bCs/>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_Toc31482 </w:instrText>
      </w:r>
      <w:r>
        <w:rPr>
          <w:rFonts w:hint="eastAsia" w:ascii="仿宋" w:hAnsi="仿宋" w:cs="仿宋"/>
          <w:color w:val="auto"/>
          <w:szCs w:val="28"/>
          <w:highlight w:val="none"/>
        </w:rPr>
        <w:fldChar w:fldCharType="separate"/>
      </w:r>
      <w:r>
        <w:rPr>
          <w:rFonts w:hint="eastAsia"/>
          <w:color w:val="auto"/>
          <w:highlight w:val="none"/>
        </w:rPr>
        <w:t>二、 营业执照</w:t>
      </w:r>
      <w:r>
        <w:rPr>
          <w:color w:val="auto"/>
          <w:highlight w:val="none"/>
        </w:rPr>
        <w:tab/>
      </w:r>
      <w:r>
        <w:rPr>
          <w:color w:val="auto"/>
          <w:highlight w:val="none"/>
        </w:rPr>
        <w:fldChar w:fldCharType="begin"/>
      </w:r>
      <w:r>
        <w:rPr>
          <w:color w:val="auto"/>
          <w:highlight w:val="none"/>
        </w:rPr>
        <w:instrText xml:space="preserve"> PAGEREF _Toc31482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_Toc381 </w:instrText>
      </w:r>
      <w:r>
        <w:rPr>
          <w:rFonts w:hint="eastAsia" w:ascii="仿宋" w:hAnsi="仿宋" w:cs="仿宋"/>
          <w:color w:val="auto"/>
          <w:szCs w:val="28"/>
          <w:highlight w:val="none"/>
        </w:rPr>
        <w:fldChar w:fldCharType="separate"/>
      </w:r>
      <w:r>
        <w:rPr>
          <w:rFonts w:hint="eastAsia"/>
          <w:color w:val="auto"/>
          <w:highlight w:val="none"/>
        </w:rPr>
        <w:t>三、 实缴资本证明</w:t>
      </w:r>
      <w:r>
        <w:rPr>
          <w:color w:val="auto"/>
          <w:highlight w:val="none"/>
        </w:rPr>
        <w:tab/>
      </w:r>
      <w:r>
        <w:rPr>
          <w:color w:val="auto"/>
          <w:highlight w:val="none"/>
        </w:rPr>
        <w:fldChar w:fldCharType="begin"/>
      </w:r>
      <w:r>
        <w:rPr>
          <w:color w:val="auto"/>
          <w:highlight w:val="none"/>
        </w:rPr>
        <w:instrText xml:space="preserve"> PAGEREF _Toc381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_Toc10002 </w:instrText>
      </w:r>
      <w:r>
        <w:rPr>
          <w:rFonts w:hint="eastAsia" w:ascii="仿宋" w:hAnsi="仿宋" w:cs="仿宋"/>
          <w:color w:val="auto"/>
          <w:szCs w:val="28"/>
          <w:highlight w:val="none"/>
        </w:rPr>
        <w:fldChar w:fldCharType="separate"/>
      </w:r>
      <w:r>
        <w:rPr>
          <w:rFonts w:hint="eastAsia"/>
          <w:color w:val="auto"/>
          <w:highlight w:val="none"/>
        </w:rPr>
        <w:t>四、 参保人数证明</w:t>
      </w:r>
      <w:r>
        <w:rPr>
          <w:color w:val="auto"/>
          <w:highlight w:val="none"/>
        </w:rPr>
        <w:tab/>
      </w:r>
      <w:r>
        <w:rPr>
          <w:color w:val="auto"/>
          <w:highlight w:val="none"/>
        </w:rPr>
        <w:fldChar w:fldCharType="begin"/>
      </w:r>
      <w:r>
        <w:rPr>
          <w:color w:val="auto"/>
          <w:highlight w:val="none"/>
        </w:rPr>
        <w:instrText xml:space="preserve"> PAGEREF _Toc10002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_Toc26155 </w:instrText>
      </w:r>
      <w:r>
        <w:rPr>
          <w:rFonts w:hint="eastAsia" w:ascii="仿宋" w:hAnsi="仿宋" w:cs="仿宋"/>
          <w:color w:val="auto"/>
          <w:szCs w:val="28"/>
          <w:highlight w:val="none"/>
        </w:rPr>
        <w:fldChar w:fldCharType="separate"/>
      </w:r>
      <w:r>
        <w:rPr>
          <w:rFonts w:hint="eastAsia"/>
          <w:color w:val="auto"/>
          <w:highlight w:val="none"/>
        </w:rPr>
        <w:t>五、 投标授权委托书</w:t>
      </w:r>
      <w:r>
        <w:rPr>
          <w:color w:val="auto"/>
          <w:highlight w:val="none"/>
        </w:rPr>
        <w:tab/>
      </w:r>
      <w:r>
        <w:rPr>
          <w:color w:val="auto"/>
          <w:highlight w:val="none"/>
        </w:rPr>
        <w:fldChar w:fldCharType="begin"/>
      </w:r>
      <w:r>
        <w:rPr>
          <w:color w:val="auto"/>
          <w:highlight w:val="none"/>
        </w:rPr>
        <w:instrText xml:space="preserve"> PAGEREF _Toc26155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_Toc18372 </w:instrText>
      </w:r>
      <w:r>
        <w:rPr>
          <w:rFonts w:hint="eastAsia" w:ascii="仿宋" w:hAnsi="仿宋" w:cs="仿宋"/>
          <w:color w:val="auto"/>
          <w:szCs w:val="28"/>
          <w:highlight w:val="none"/>
        </w:rPr>
        <w:fldChar w:fldCharType="separate"/>
      </w:r>
      <w:r>
        <w:rPr>
          <w:rFonts w:hint="eastAsia"/>
          <w:color w:val="auto"/>
          <w:highlight w:val="none"/>
        </w:rPr>
        <w:t>六、 被委托人社保缴纳证明</w:t>
      </w:r>
      <w:r>
        <w:rPr>
          <w:color w:val="auto"/>
          <w:highlight w:val="none"/>
        </w:rPr>
        <w:tab/>
      </w:r>
      <w:r>
        <w:rPr>
          <w:color w:val="auto"/>
          <w:highlight w:val="none"/>
        </w:rPr>
        <w:fldChar w:fldCharType="begin"/>
      </w:r>
      <w:r>
        <w:rPr>
          <w:color w:val="auto"/>
          <w:highlight w:val="none"/>
        </w:rPr>
        <w:instrText xml:space="preserve"> PAGEREF _Toc18372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_Toc31483 </w:instrText>
      </w:r>
      <w:r>
        <w:rPr>
          <w:rFonts w:hint="eastAsia" w:ascii="仿宋" w:hAnsi="仿宋" w:cs="仿宋"/>
          <w:color w:val="auto"/>
          <w:szCs w:val="28"/>
          <w:highlight w:val="none"/>
        </w:rPr>
        <w:fldChar w:fldCharType="separate"/>
      </w:r>
      <w:r>
        <w:rPr>
          <w:rFonts w:hint="eastAsia"/>
          <w:color w:val="auto"/>
          <w:highlight w:val="none"/>
        </w:rPr>
        <w:t>七、 投标人资质证明</w:t>
      </w:r>
      <w:r>
        <w:rPr>
          <w:color w:val="auto"/>
          <w:highlight w:val="none"/>
        </w:rPr>
        <w:tab/>
      </w:r>
      <w:r>
        <w:rPr>
          <w:color w:val="auto"/>
          <w:highlight w:val="none"/>
        </w:rPr>
        <w:fldChar w:fldCharType="begin"/>
      </w:r>
      <w:r>
        <w:rPr>
          <w:color w:val="auto"/>
          <w:highlight w:val="none"/>
        </w:rPr>
        <w:instrText xml:space="preserve"> PAGEREF _Toc31483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_Toc31558 </w:instrText>
      </w:r>
      <w:r>
        <w:rPr>
          <w:rFonts w:hint="eastAsia" w:ascii="仿宋" w:hAnsi="仿宋" w:cs="仿宋"/>
          <w:color w:val="auto"/>
          <w:szCs w:val="28"/>
          <w:highlight w:val="none"/>
        </w:rPr>
        <w:fldChar w:fldCharType="separate"/>
      </w:r>
      <w:r>
        <w:rPr>
          <w:rFonts w:hint="eastAsia"/>
          <w:color w:val="auto"/>
          <w:highlight w:val="none"/>
        </w:rPr>
        <w:t>八、 承诺书</w:t>
      </w:r>
      <w:r>
        <w:rPr>
          <w:color w:val="auto"/>
          <w:highlight w:val="none"/>
        </w:rPr>
        <w:tab/>
      </w:r>
      <w:r>
        <w:rPr>
          <w:color w:val="auto"/>
          <w:highlight w:val="none"/>
        </w:rPr>
        <w:fldChar w:fldCharType="begin"/>
      </w:r>
      <w:r>
        <w:rPr>
          <w:color w:val="auto"/>
          <w:highlight w:val="none"/>
        </w:rPr>
        <w:instrText xml:space="preserve"> PAGEREF _Toc31558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_Toc1731 </w:instrText>
      </w:r>
      <w:r>
        <w:rPr>
          <w:rFonts w:hint="eastAsia" w:ascii="仿宋" w:hAnsi="仿宋" w:cs="仿宋"/>
          <w:color w:val="auto"/>
          <w:szCs w:val="28"/>
          <w:highlight w:val="none"/>
        </w:rPr>
        <w:fldChar w:fldCharType="separate"/>
      </w:r>
      <w:r>
        <w:rPr>
          <w:rFonts w:hint="eastAsia"/>
          <w:color w:val="auto"/>
          <w:highlight w:val="none"/>
          <w:lang w:bidi="en-US"/>
        </w:rPr>
        <w:t xml:space="preserve">九、 </w:t>
      </w:r>
      <w:r>
        <w:rPr>
          <w:rFonts w:hint="eastAsia" w:ascii="宋体" w:hAnsi="宋体" w:cs="微软雅黑"/>
          <w:color w:val="auto"/>
          <w:szCs w:val="30"/>
          <w:highlight w:val="none"/>
        </w:rPr>
        <w:t>廉洁保密承诺书</w:t>
      </w:r>
      <w:r>
        <w:rPr>
          <w:color w:val="auto"/>
          <w:highlight w:val="none"/>
        </w:rPr>
        <w:tab/>
      </w:r>
      <w:r>
        <w:rPr>
          <w:color w:val="auto"/>
          <w:highlight w:val="none"/>
        </w:rPr>
        <w:fldChar w:fldCharType="begin"/>
      </w:r>
      <w:r>
        <w:rPr>
          <w:color w:val="auto"/>
          <w:highlight w:val="none"/>
        </w:rPr>
        <w:instrText xml:space="preserve"> PAGEREF _Toc1731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_Toc28835 </w:instrText>
      </w:r>
      <w:r>
        <w:rPr>
          <w:rFonts w:hint="eastAsia" w:ascii="仿宋" w:hAnsi="仿宋" w:cs="仿宋"/>
          <w:color w:val="auto"/>
          <w:szCs w:val="28"/>
          <w:highlight w:val="none"/>
        </w:rPr>
        <w:fldChar w:fldCharType="separate"/>
      </w:r>
      <w:r>
        <w:rPr>
          <w:rFonts w:hint="eastAsia"/>
          <w:color w:val="auto"/>
          <w:highlight w:val="none"/>
          <w:lang w:bidi="en-US"/>
        </w:rPr>
        <w:t>十、 关联公司证明</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_Toc14765 </w:instrText>
      </w:r>
      <w:r>
        <w:rPr>
          <w:rFonts w:hint="eastAsia" w:ascii="仿宋" w:hAnsi="仿宋" w:cs="仿宋"/>
          <w:color w:val="auto"/>
          <w:szCs w:val="28"/>
          <w:highlight w:val="none"/>
        </w:rPr>
        <w:fldChar w:fldCharType="separate"/>
      </w:r>
      <w:r>
        <w:rPr>
          <w:rFonts w:hint="eastAsia"/>
          <w:color w:val="auto"/>
          <w:highlight w:val="none"/>
          <w:lang w:bidi="en-US"/>
        </w:rPr>
        <w:t>十一、 拟派本项目团队主要人员及履历</w:t>
      </w:r>
      <w:r>
        <w:rPr>
          <w:color w:val="auto"/>
          <w:highlight w:val="none"/>
        </w:rPr>
        <w:tab/>
      </w:r>
      <w:r>
        <w:rPr>
          <w:color w:val="auto"/>
          <w:highlight w:val="none"/>
        </w:rPr>
        <w:fldChar w:fldCharType="begin"/>
      </w:r>
      <w:r>
        <w:rPr>
          <w:color w:val="auto"/>
          <w:highlight w:val="none"/>
        </w:rPr>
        <w:instrText xml:space="preserve"> PAGEREF _Toc14765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_Toc1920 </w:instrText>
      </w:r>
      <w:r>
        <w:rPr>
          <w:rFonts w:hint="eastAsia" w:ascii="仿宋" w:hAnsi="仿宋" w:cs="仿宋"/>
          <w:color w:val="auto"/>
          <w:szCs w:val="28"/>
          <w:highlight w:val="none"/>
        </w:rPr>
        <w:fldChar w:fldCharType="separate"/>
      </w:r>
      <w:r>
        <w:rPr>
          <w:rFonts w:hint="eastAsia"/>
          <w:color w:val="auto"/>
          <w:highlight w:val="none"/>
        </w:rPr>
        <w:t>十二、 诚信度</w:t>
      </w:r>
      <w:r>
        <w:rPr>
          <w:color w:val="auto"/>
          <w:highlight w:val="none"/>
        </w:rPr>
        <w:tab/>
      </w:r>
      <w:r>
        <w:rPr>
          <w:color w:val="auto"/>
          <w:highlight w:val="none"/>
        </w:rPr>
        <w:fldChar w:fldCharType="begin"/>
      </w:r>
      <w:r>
        <w:rPr>
          <w:color w:val="auto"/>
          <w:highlight w:val="none"/>
        </w:rPr>
        <w:instrText xml:space="preserve"> PAGEREF _Toc1920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_Toc11363 </w:instrText>
      </w:r>
      <w:r>
        <w:rPr>
          <w:rFonts w:hint="eastAsia" w:ascii="仿宋" w:hAnsi="仿宋" w:cs="仿宋"/>
          <w:color w:val="auto"/>
          <w:szCs w:val="28"/>
          <w:highlight w:val="none"/>
        </w:rPr>
        <w:fldChar w:fldCharType="separate"/>
      </w:r>
      <w:r>
        <w:rPr>
          <w:rFonts w:hint="eastAsia"/>
          <w:color w:val="auto"/>
          <w:highlight w:val="none"/>
        </w:rPr>
        <w:t>十三、 财务状况</w:t>
      </w:r>
      <w:r>
        <w:rPr>
          <w:color w:val="auto"/>
          <w:highlight w:val="none"/>
        </w:rPr>
        <w:tab/>
      </w:r>
      <w:r>
        <w:rPr>
          <w:color w:val="auto"/>
          <w:highlight w:val="none"/>
        </w:rPr>
        <w:fldChar w:fldCharType="begin"/>
      </w:r>
      <w:r>
        <w:rPr>
          <w:color w:val="auto"/>
          <w:highlight w:val="none"/>
        </w:rPr>
        <w:instrText xml:space="preserve"> PAGEREF _Toc11363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_Toc14096 </w:instrText>
      </w:r>
      <w:r>
        <w:rPr>
          <w:rFonts w:hint="eastAsia" w:ascii="仿宋" w:hAnsi="仿宋" w:cs="仿宋"/>
          <w:color w:val="auto"/>
          <w:szCs w:val="28"/>
          <w:highlight w:val="none"/>
        </w:rPr>
        <w:fldChar w:fldCharType="separate"/>
      </w:r>
      <w:r>
        <w:rPr>
          <w:rFonts w:hint="eastAsia"/>
          <w:color w:val="auto"/>
          <w:highlight w:val="none"/>
        </w:rPr>
        <w:t>十四、 同类</w:t>
      </w:r>
      <w:r>
        <w:rPr>
          <w:color w:val="auto"/>
          <w:highlight w:val="none"/>
        </w:rPr>
        <w:t>业绩</w:t>
      </w:r>
      <w:r>
        <w:rPr>
          <w:rFonts w:hint="eastAsia"/>
          <w:color w:val="auto"/>
          <w:highlight w:val="none"/>
        </w:rPr>
        <w:t>一栏表</w:t>
      </w:r>
      <w:r>
        <w:rPr>
          <w:color w:val="auto"/>
          <w:highlight w:val="none"/>
        </w:rPr>
        <w:tab/>
      </w:r>
      <w:r>
        <w:rPr>
          <w:color w:val="auto"/>
          <w:highlight w:val="none"/>
        </w:rPr>
        <w:fldChar w:fldCharType="begin"/>
      </w:r>
      <w:r>
        <w:rPr>
          <w:color w:val="auto"/>
          <w:highlight w:val="none"/>
        </w:rPr>
        <w:instrText xml:space="preserve"> PAGEREF _Toc14096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_Toc32186 </w:instrText>
      </w:r>
      <w:r>
        <w:rPr>
          <w:rFonts w:hint="eastAsia" w:ascii="仿宋" w:hAnsi="仿宋" w:cs="仿宋"/>
          <w:color w:val="auto"/>
          <w:szCs w:val="28"/>
          <w:highlight w:val="none"/>
        </w:rPr>
        <w:fldChar w:fldCharType="separate"/>
      </w:r>
      <w:r>
        <w:rPr>
          <w:rFonts w:hint="eastAsia"/>
          <w:color w:val="auto"/>
          <w:highlight w:val="none"/>
        </w:rPr>
        <w:t xml:space="preserve">十五、 </w:t>
      </w:r>
      <w:r>
        <w:rPr>
          <w:color w:val="auto"/>
          <w:highlight w:val="none"/>
        </w:rPr>
        <w:t>业绩证明</w:t>
      </w:r>
      <w:r>
        <w:rPr>
          <w:color w:val="auto"/>
          <w:highlight w:val="none"/>
        </w:rPr>
        <w:tab/>
      </w:r>
      <w:r>
        <w:rPr>
          <w:color w:val="auto"/>
          <w:highlight w:val="none"/>
        </w:rPr>
        <w:fldChar w:fldCharType="begin"/>
      </w:r>
      <w:r>
        <w:rPr>
          <w:color w:val="auto"/>
          <w:highlight w:val="none"/>
        </w:rPr>
        <w:instrText xml:space="preserve"> PAGEREF _Toc32186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_Toc15769 </w:instrText>
      </w:r>
      <w:r>
        <w:rPr>
          <w:rFonts w:hint="eastAsia" w:ascii="仿宋" w:hAnsi="仿宋" w:cs="仿宋"/>
          <w:color w:val="auto"/>
          <w:szCs w:val="28"/>
          <w:highlight w:val="none"/>
        </w:rPr>
        <w:fldChar w:fldCharType="separate"/>
      </w:r>
      <w:r>
        <w:rPr>
          <w:rFonts w:hint="eastAsia"/>
          <w:color w:val="auto"/>
          <w:highlight w:val="none"/>
        </w:rPr>
        <w:t>十六、 供应商调查问卷</w:t>
      </w:r>
      <w:r>
        <w:rPr>
          <w:color w:val="auto"/>
          <w:highlight w:val="none"/>
        </w:rPr>
        <w:tab/>
      </w:r>
      <w:r>
        <w:rPr>
          <w:color w:val="auto"/>
          <w:highlight w:val="none"/>
        </w:rPr>
        <w:fldChar w:fldCharType="begin"/>
      </w:r>
      <w:r>
        <w:rPr>
          <w:color w:val="auto"/>
          <w:highlight w:val="none"/>
        </w:rPr>
        <w:instrText xml:space="preserve"> PAGEREF _Toc15769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cs="仿宋"/>
          <w:color w:val="auto"/>
          <w:szCs w:val="28"/>
          <w:highlight w:val="none"/>
        </w:rPr>
        <w:fldChar w:fldCharType="end"/>
      </w:r>
    </w:p>
    <w:p>
      <w:pPr>
        <w:pStyle w:val="7"/>
        <w:shd w:val="clear" w:color="auto" w:fill="auto"/>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_Toc10904 </w:instrText>
      </w:r>
      <w:r>
        <w:rPr>
          <w:rFonts w:hint="eastAsia" w:ascii="仿宋" w:hAnsi="仿宋" w:cs="仿宋"/>
          <w:color w:val="auto"/>
          <w:szCs w:val="28"/>
          <w:highlight w:val="none"/>
        </w:rPr>
        <w:fldChar w:fldCharType="separate"/>
      </w:r>
      <w:r>
        <w:rPr>
          <w:rFonts w:hint="eastAsia"/>
          <w:color w:val="auto"/>
          <w:highlight w:val="none"/>
        </w:rPr>
        <w:t>十七、 其他有必要的资质及补充资料</w:t>
      </w:r>
      <w:r>
        <w:rPr>
          <w:color w:val="auto"/>
          <w:highlight w:val="none"/>
        </w:rPr>
        <w:tab/>
      </w:r>
      <w:r>
        <w:rPr>
          <w:color w:val="auto"/>
          <w:highlight w:val="none"/>
        </w:rPr>
        <w:fldChar w:fldCharType="begin"/>
      </w:r>
      <w:r>
        <w:rPr>
          <w:color w:val="auto"/>
          <w:highlight w:val="none"/>
        </w:rPr>
        <w:instrText xml:space="preserve"> PAGEREF _Toc10904 \h </w:instrText>
      </w:r>
      <w:r>
        <w:rPr>
          <w:color w:val="auto"/>
          <w:highlight w:val="none"/>
        </w:rPr>
        <w:fldChar w:fldCharType="separate"/>
      </w:r>
      <w:r>
        <w:rPr>
          <w:color w:val="auto"/>
          <w:highlight w:val="none"/>
        </w:rPr>
        <w:t>21</w:t>
      </w:r>
      <w:r>
        <w:rPr>
          <w:color w:val="auto"/>
          <w:highlight w:val="none"/>
        </w:rPr>
        <w:fldChar w:fldCharType="end"/>
      </w:r>
      <w:r>
        <w:rPr>
          <w:rFonts w:hint="eastAsia" w:ascii="仿宋" w:hAnsi="仿宋" w:cs="仿宋"/>
          <w:color w:val="auto"/>
          <w:szCs w:val="28"/>
          <w:highlight w:val="none"/>
        </w:rPr>
        <w:fldChar w:fldCharType="end"/>
      </w:r>
    </w:p>
    <w:p>
      <w:pPr>
        <w:pStyle w:val="4"/>
        <w:shd w:val="clear" w:color="auto" w:fill="auto"/>
        <w:spacing w:line="480" w:lineRule="auto"/>
        <w:outlineLvl w:val="9"/>
        <w:rPr>
          <w:color w:val="auto"/>
          <w:highlight w:val="none"/>
        </w:rPr>
        <w:sectPr>
          <w:pgSz w:w="11906" w:h="16838"/>
          <w:pgMar w:top="1440" w:right="1800" w:bottom="1440" w:left="1800" w:header="851" w:footer="992" w:gutter="0"/>
          <w:cols w:space="720" w:num="1"/>
          <w:docGrid w:type="lines" w:linePitch="312" w:charSpace="0"/>
        </w:sectPr>
      </w:pPr>
      <w:r>
        <w:rPr>
          <w:rFonts w:hint="eastAsia" w:ascii="仿宋" w:hAnsi="仿宋" w:cs="仿宋"/>
          <w:color w:val="auto"/>
          <w:szCs w:val="28"/>
          <w:highlight w:val="none"/>
        </w:rPr>
        <w:fldChar w:fldCharType="end"/>
      </w:r>
    </w:p>
    <w:p>
      <w:pPr>
        <w:shd w:val="clear" w:color="auto" w:fill="auto"/>
        <w:jc w:val="center"/>
        <w:rPr>
          <w:rFonts w:ascii="微软雅黑" w:hAnsi="微软雅黑" w:eastAsia="微软雅黑" w:cs="仿宋"/>
          <w:color w:val="auto"/>
          <w:sz w:val="28"/>
          <w:szCs w:val="36"/>
          <w:highlight w:val="none"/>
        </w:rPr>
      </w:pPr>
      <w:r>
        <w:rPr>
          <w:rFonts w:hint="eastAsia" w:ascii="微软雅黑" w:hAnsi="微软雅黑" w:eastAsia="微软雅黑" w:cs="仿宋"/>
          <w:color w:val="auto"/>
          <w:sz w:val="28"/>
          <w:szCs w:val="36"/>
          <w:highlight w:val="none"/>
        </w:rPr>
        <w:t>投标人预审资料提交须知</w:t>
      </w:r>
    </w:p>
    <w:p>
      <w:pPr>
        <w:pStyle w:val="11"/>
        <w:numPr>
          <w:ilvl w:val="0"/>
          <w:numId w:val="1"/>
        </w:numPr>
        <w:shd w:val="clear" w:color="auto" w:fill="auto"/>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请按下文要求填写或提供对应文件，本表单和附件证明文件均每页须加盖投标单位公章（鲜章）。</w:t>
      </w:r>
    </w:p>
    <w:p>
      <w:pPr>
        <w:pStyle w:val="11"/>
        <w:numPr>
          <w:ilvl w:val="0"/>
          <w:numId w:val="1"/>
        </w:numPr>
        <w:shd w:val="clear" w:color="auto" w:fill="auto"/>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提供正、副本各一份，U盘一份（其中：文本文档以Office2007可编辑的word/Excel版本；其它以扫描件/PDF版本）</w:t>
      </w:r>
    </w:p>
    <w:p>
      <w:pPr>
        <w:pStyle w:val="11"/>
        <w:numPr>
          <w:ilvl w:val="0"/>
          <w:numId w:val="1"/>
        </w:numPr>
        <w:shd w:val="clear" w:color="auto" w:fill="auto"/>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本资格审查文件须装订成册，密封包装。</w:t>
      </w:r>
    </w:p>
    <w:p>
      <w:pPr>
        <w:pStyle w:val="11"/>
        <w:numPr>
          <w:ilvl w:val="0"/>
          <w:numId w:val="1"/>
        </w:numPr>
        <w:shd w:val="clear" w:color="auto" w:fill="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投标人提供资格预审资料不符合招标公告规定投标条件的，将被判定为资格审查不合格，并作否决投标处理。</w:t>
      </w:r>
    </w:p>
    <w:p>
      <w:pPr>
        <w:shd w:val="clear" w:color="auto" w:fill="auto"/>
        <w:rPr>
          <w:color w:val="auto"/>
          <w:highlight w:val="none"/>
        </w:rPr>
      </w:pPr>
    </w:p>
    <w:p>
      <w:pPr>
        <w:pStyle w:val="4"/>
        <w:numPr>
          <w:ilvl w:val="0"/>
          <w:numId w:val="2"/>
        </w:numPr>
        <w:shd w:val="clear" w:color="auto" w:fill="auto"/>
        <w:ind w:left="-567" w:leftChars="-270" w:firstLine="563" w:firstLineChars="176"/>
        <w:rPr>
          <w:color w:val="auto"/>
          <w:highlight w:val="none"/>
        </w:rPr>
      </w:pPr>
      <w:bookmarkStart w:id="0" w:name="_Toc12075"/>
      <w:r>
        <w:rPr>
          <w:rFonts w:hint="eastAsia"/>
          <w:color w:val="auto"/>
          <w:highlight w:val="none"/>
        </w:rPr>
        <w:t>采购项目供应商资格审核明细表</w:t>
      </w:r>
      <w:bookmarkEnd w:id="0"/>
    </w:p>
    <w:tbl>
      <w:tblPr>
        <w:tblStyle w:val="9"/>
        <w:tblW w:w="5180" w:type="pct"/>
        <w:jc w:val="center"/>
        <w:tblLayout w:type="fixed"/>
        <w:tblCellMar>
          <w:top w:w="0" w:type="dxa"/>
          <w:left w:w="108" w:type="dxa"/>
          <w:bottom w:w="0" w:type="dxa"/>
          <w:right w:w="108" w:type="dxa"/>
        </w:tblCellMar>
      </w:tblPr>
      <w:tblGrid>
        <w:gridCol w:w="446"/>
        <w:gridCol w:w="2784"/>
        <w:gridCol w:w="3305"/>
        <w:gridCol w:w="2294"/>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shd w:val="clear" w:color="auto" w:fill="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shd w:val="clear" w:color="auto" w:fill="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shd w:val="clear" w:color="auto" w:fill="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shd w:val="clear" w:color="auto" w:fill="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shd w:val="clear" w:color="auto" w:fill="auto"/>
              <w:jc w:val="center"/>
              <w:rPr>
                <w:rFonts w:ascii="仿宋" w:hAnsi="仿宋" w:eastAsia="仿宋" w:cs="仿宋"/>
                <w:b/>
                <w:bCs/>
                <w:color w:val="auto"/>
                <w:szCs w:val="21"/>
                <w:highlight w:val="none"/>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shd w:val="clear" w:color="auto" w:fill="auto"/>
              <w:jc w:val="center"/>
              <w:rPr>
                <w:rFonts w:ascii="仿宋" w:hAnsi="仿宋" w:eastAsia="仿宋" w:cs="仿宋"/>
                <w:b/>
                <w:bCs/>
                <w:color w:val="auto"/>
                <w:szCs w:val="21"/>
                <w:highlight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shd w:val="clear" w:color="auto" w:fill="auto"/>
              <w:jc w:val="center"/>
              <w:rPr>
                <w:rFonts w:ascii="仿宋" w:hAnsi="仿宋" w:eastAsia="仿宋" w:cs="仿宋"/>
                <w:b/>
                <w:bCs/>
                <w:color w:val="auto"/>
                <w:szCs w:val="21"/>
                <w:highlight w:val="none"/>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shd w:val="clear" w:color="auto" w:fill="auto"/>
              <w:jc w:val="center"/>
              <w:rPr>
                <w:rFonts w:ascii="仿宋" w:hAnsi="仿宋" w:eastAsia="仿宋" w:cs="仿宋"/>
                <w:b/>
                <w:bCs/>
                <w:color w:val="auto"/>
                <w:szCs w:val="21"/>
                <w:highlight w:val="none"/>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shd w:val="clear" w:color="auto" w:fill="auto"/>
              <w:jc w:val="center"/>
              <w:rPr>
                <w:color w:val="auto"/>
                <w:sz w:val="20"/>
                <w:szCs w:val="20"/>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企业资质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shd w:val="clear" w:color="auto" w:fill="auto"/>
              <w:jc w:val="center"/>
              <w:rPr>
                <w:color w:val="auto"/>
                <w:sz w:val="20"/>
                <w:szCs w:val="20"/>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市政公用工程施工总承包</w:t>
            </w:r>
            <w:r>
              <w:rPr>
                <w:rFonts w:hint="eastAsia" w:ascii="仿宋" w:hAnsi="仿宋" w:eastAsia="仿宋" w:cs="仿宋"/>
                <w:color w:val="auto"/>
                <w:kern w:val="0"/>
                <w:szCs w:val="21"/>
                <w:highlight w:val="none"/>
                <w:lang w:val="en-US" w:eastAsia="zh-CN" w:bidi="ar"/>
              </w:rPr>
              <w:t>三</w:t>
            </w:r>
            <w:r>
              <w:rPr>
                <w:rFonts w:hint="eastAsia" w:ascii="仿宋" w:hAnsi="仿宋" w:eastAsia="仿宋" w:cs="仿宋"/>
                <w:color w:val="auto"/>
                <w:kern w:val="0"/>
                <w:szCs w:val="21"/>
                <w:highlight w:val="none"/>
                <w:lang w:bidi="ar"/>
              </w:rPr>
              <w:t>级或机电工程施工总承包一级</w:t>
            </w:r>
            <w:r>
              <w:rPr>
                <w:rFonts w:hint="eastAsia" w:ascii="仿宋" w:hAnsi="仿宋" w:eastAsia="仿宋" w:cs="仿宋"/>
                <w:color w:val="auto"/>
                <w:kern w:val="0"/>
                <w:szCs w:val="21"/>
                <w:highlight w:val="none"/>
                <w:lang w:val="en-US" w:eastAsia="zh-CN" w:bidi="ar"/>
              </w:rPr>
              <w:t>或环保工程专业承包一级</w:t>
            </w:r>
            <w:r>
              <w:rPr>
                <w:rFonts w:hint="eastAsia" w:ascii="仿宋" w:hAnsi="仿宋" w:eastAsia="仿宋" w:cs="仿宋"/>
                <w:color w:val="auto"/>
                <w:kern w:val="0"/>
                <w:szCs w:val="21"/>
                <w:highlight w:val="none"/>
                <w:lang w:bidi="ar"/>
              </w:rPr>
              <w:t>及以上资质企业</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shd w:val="clear" w:color="auto" w:fill="auto"/>
              <w:jc w:val="center"/>
              <w:rPr>
                <w:color w:val="auto"/>
                <w:sz w:val="20"/>
                <w:szCs w:val="20"/>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spacing w:line="320" w:lineRule="exac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拟派项目经理和技术负责人其中一人须具有机电工程或市政公用工程一级建造师及以上资格证书；拟派项目经理和技术负责人均须具有类似项目业绩（类似业绩的认定标准见本公告第4.6.1条）；拟派项目经理和技术负责人均在投标人单位购买6个月以上社保。</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ascii="仿宋" w:hAnsi="仿宋" w:eastAsia="仿宋" w:cs="仿宋"/>
                <w:color w:val="auto"/>
                <w:szCs w:val="21"/>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auto"/>
                <w:sz w:val="20"/>
                <w:szCs w:val="20"/>
                <w:highlight w:val="none"/>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ascii="仿宋" w:hAnsi="仿宋" w:eastAsia="仿宋" w:cs="仿宋"/>
                <w:color w:val="auto"/>
                <w:kern w:val="0"/>
                <w:szCs w:val="21"/>
                <w:highlight w:val="none"/>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ascii="仿宋" w:hAnsi="仿宋" w:eastAsia="仿宋" w:cs="仿宋"/>
                <w:color w:val="auto"/>
                <w:kern w:val="0"/>
                <w:szCs w:val="21"/>
                <w:highlight w:val="none"/>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ascii="仿宋" w:hAnsi="仿宋" w:eastAsia="仿宋" w:cs="仿宋"/>
                <w:color w:val="auto"/>
                <w:kern w:val="0"/>
                <w:szCs w:val="21"/>
                <w:highlight w:val="none"/>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hd w:val="clear" w:color="auto" w:fill="auto"/>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ascii="仿宋" w:hAnsi="仿宋" w:eastAsia="仿宋" w:cs="仿宋"/>
                <w:color w:val="auto"/>
                <w:kern w:val="0"/>
                <w:szCs w:val="21"/>
                <w:highlight w:val="none"/>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（如有）</w:t>
            </w:r>
          </w:p>
        </w:tc>
      </w:tr>
    </w:tbl>
    <w:p>
      <w:pPr>
        <w:pStyle w:val="4"/>
        <w:numPr>
          <w:ilvl w:val="0"/>
          <w:numId w:val="2"/>
        </w:numPr>
        <w:shd w:val="clear" w:color="auto" w:fill="auto"/>
        <w:rPr>
          <w:color w:val="auto"/>
          <w:highlight w:val="none"/>
        </w:rPr>
      </w:pPr>
      <w:bookmarkStart w:id="1" w:name="_Toc31482"/>
      <w:r>
        <w:rPr>
          <w:rFonts w:hint="eastAsia"/>
          <w:color w:val="auto"/>
          <w:highlight w:val="none"/>
        </w:rPr>
        <w:t>营业执照</w:t>
      </w:r>
      <w:bookmarkEnd w:id="1"/>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须提供营业执照</w:t>
      </w:r>
    </w:p>
    <w:p>
      <w:pPr>
        <w:pStyle w:val="4"/>
        <w:numPr>
          <w:ilvl w:val="0"/>
          <w:numId w:val="2"/>
        </w:numPr>
        <w:shd w:val="clear" w:color="auto" w:fill="auto"/>
        <w:rPr>
          <w:color w:val="auto"/>
          <w:highlight w:val="none"/>
        </w:rPr>
      </w:pPr>
      <w:bookmarkStart w:id="2" w:name="_Toc381"/>
      <w:r>
        <w:rPr>
          <w:rFonts w:hint="eastAsia"/>
          <w:color w:val="auto"/>
          <w:highlight w:val="none"/>
        </w:rPr>
        <w:t>实缴资本证明</w:t>
      </w:r>
      <w:bookmarkEnd w:id="2"/>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提供实缴资本证明（如第三方网站截图、其他证明）</w:t>
      </w:r>
    </w:p>
    <w:p>
      <w:pPr>
        <w:pStyle w:val="4"/>
        <w:numPr>
          <w:ilvl w:val="0"/>
          <w:numId w:val="2"/>
        </w:numPr>
        <w:shd w:val="clear" w:color="auto" w:fill="auto"/>
        <w:rPr>
          <w:color w:val="auto"/>
          <w:highlight w:val="none"/>
        </w:rPr>
      </w:pPr>
      <w:bookmarkStart w:id="3" w:name="_Toc10002"/>
      <w:r>
        <w:rPr>
          <w:rFonts w:hint="eastAsia"/>
          <w:color w:val="auto"/>
          <w:highlight w:val="none"/>
        </w:rPr>
        <w:t>参保人数证明</w:t>
      </w:r>
      <w:bookmarkEnd w:id="3"/>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提供参保人数证明（如社保缴纳证明、第三方网站截图）</w:t>
      </w:r>
    </w:p>
    <w:p>
      <w:pPr>
        <w:pStyle w:val="4"/>
        <w:numPr>
          <w:ilvl w:val="0"/>
          <w:numId w:val="2"/>
        </w:numPr>
        <w:shd w:val="clear" w:color="auto" w:fill="auto"/>
        <w:rPr>
          <w:color w:val="auto"/>
          <w:highlight w:val="none"/>
        </w:rPr>
      </w:pPr>
      <w:bookmarkStart w:id="4" w:name="_Toc26155"/>
      <w:r>
        <w:rPr>
          <w:rFonts w:hint="eastAsia"/>
          <w:color w:val="auto"/>
          <w:highlight w:val="none"/>
        </w:rPr>
        <w:t>投标授权委托书</w:t>
      </w:r>
      <w:bookmarkEnd w:id="4"/>
    </w:p>
    <w:p>
      <w:pPr>
        <w:shd w:val="clear" w:color="auto" w:fill="auto"/>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投标授权委托书</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本人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（姓名）系</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（投标人名称）的法定代表人，现委托本单位人员</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（姓名）为我方代理人。代理人以我方名义签署、澄清、说明、补正、递交、撤回、修改</w:t>
      </w:r>
      <w:r>
        <w:rPr>
          <w:rFonts w:hint="eastAsia" w:ascii="仿宋" w:hAnsi="仿宋" w:eastAsia="仿宋"/>
          <w:color w:val="auto"/>
          <w:sz w:val="24"/>
          <w:highlight w:val="none"/>
          <w:u w:val="single"/>
          <w:lang w:bidi="en-US"/>
        </w:rPr>
        <w:t>（项目名称）</w:t>
      </w:r>
      <w:r>
        <w:rPr>
          <w:rFonts w:hint="eastAsia" w:ascii="仿宋" w:hAnsi="仿宋" w:eastAsia="仿宋"/>
          <w:color w:val="auto"/>
          <w:sz w:val="24"/>
          <w:highlight w:val="none"/>
          <w:lang w:bidi="en-US"/>
        </w:rPr>
        <w:t>投标文件，签订合同和处理有关事宜（向有关行政监督部门投诉另行授权），其法律后果由我方承担。</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委托期限：自本授权委托书签署日起至投标有效期结束止</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代理人无权转让委托。</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r>
        <w:rPr>
          <w:rFonts w:hint="eastAsia" w:ascii="仿宋" w:hAnsi="仿宋" w:eastAsia="仿宋"/>
          <w:color w:val="auto"/>
          <w:sz w:val="24"/>
          <w:highlight w:val="none"/>
          <w:lang w:bidi="en-US"/>
        </w:rPr>
        <w:t>附：（</w:t>
      </w:r>
      <w:r>
        <w:rPr>
          <w:rFonts w:ascii="仿宋" w:hAnsi="仿宋" w:eastAsia="仿宋"/>
          <w:color w:val="auto"/>
          <w:sz w:val="24"/>
          <w:highlight w:val="none"/>
          <w:lang w:bidi="en-US"/>
        </w:rPr>
        <w:t>1</w:t>
      </w:r>
      <w:r>
        <w:rPr>
          <w:rFonts w:hint="eastAsia" w:ascii="仿宋" w:hAnsi="仿宋" w:eastAsia="仿宋"/>
          <w:color w:val="auto"/>
          <w:sz w:val="24"/>
          <w:highlight w:val="none"/>
          <w:lang w:bidi="en-US"/>
        </w:rPr>
        <w:t>）法定代表人身份证明书（格式后附）。</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（2）法定代表人身份证复印件。</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w:t>
      </w:r>
      <w:r>
        <w:rPr>
          <w:rFonts w:ascii="仿宋" w:hAnsi="仿宋" w:eastAsia="仿宋"/>
          <w:color w:val="auto"/>
          <w:sz w:val="24"/>
          <w:highlight w:val="none"/>
          <w:lang w:bidi="en-US"/>
        </w:rPr>
        <w:t>3</w:t>
      </w:r>
      <w:r>
        <w:rPr>
          <w:rFonts w:hint="eastAsia" w:ascii="仿宋" w:hAnsi="仿宋" w:eastAsia="仿宋"/>
          <w:color w:val="auto"/>
          <w:sz w:val="24"/>
          <w:highlight w:val="none"/>
          <w:lang w:bidi="en-US"/>
        </w:rPr>
        <w:t>）委托代理人身份证复印件。</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投标人：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（公司名+公章）</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法定代表人：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委托代理人：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pPr>
        <w:shd w:val="clear" w:color="auto" w:fill="auto"/>
        <w:tabs>
          <w:tab w:val="right" w:leader="dot" w:pos="9471"/>
        </w:tabs>
        <w:adjustRightInd w:val="0"/>
        <w:snapToGrid w:val="0"/>
        <w:spacing w:line="360" w:lineRule="auto"/>
        <w:ind w:firstLine="2692" w:firstLineChars="1122"/>
        <w:rPr>
          <w:rFonts w:ascii="仿宋" w:hAnsi="仿宋" w:eastAsia="仿宋"/>
          <w:color w:val="auto"/>
          <w:sz w:val="24"/>
          <w:highlight w:val="none"/>
          <w:u w:val="single"/>
          <w:lang w:bidi="en-US"/>
        </w:rPr>
      </w:pPr>
      <w:r>
        <w:rPr>
          <w:rFonts w:hint="eastAsia" w:ascii="仿宋" w:hAnsi="仿宋" w:eastAsia="仿宋"/>
          <w:color w:val="auto"/>
          <w:sz w:val="24"/>
          <w:highlight w:val="none"/>
          <w:lang w:bidi="en-US"/>
        </w:rPr>
        <w:t>移动电话：</w:t>
      </w:r>
      <w:r>
        <w:rPr>
          <w:rFonts w:hint="eastAsia" w:ascii="仿宋" w:hAnsi="仿宋" w:eastAsia="仿宋"/>
          <w:color w:val="auto"/>
          <w:sz w:val="24"/>
          <w:highlight w:val="none"/>
          <w:u w:val="single"/>
          <w:lang w:bidi="en-US"/>
        </w:rPr>
        <w:t xml:space="preserve"> </w:t>
      </w:r>
      <w:r>
        <w:rPr>
          <w:rFonts w:ascii="仿宋" w:hAnsi="仿宋" w:eastAsia="仿宋"/>
          <w:color w:val="auto"/>
          <w:sz w:val="24"/>
          <w:highlight w:val="none"/>
          <w:u w:val="single"/>
          <w:lang w:bidi="en-US"/>
        </w:rPr>
        <w:t xml:space="preserve">              </w:t>
      </w:r>
    </w:p>
    <w:p>
      <w:pPr>
        <w:pStyle w:val="6"/>
        <w:shd w:val="clear" w:color="auto" w:fill="auto"/>
        <w:rPr>
          <w:color w:val="auto"/>
          <w:highlight w:val="none"/>
          <w:u w:val="single"/>
        </w:rPr>
      </w:pPr>
      <w:r>
        <w:rPr>
          <w:rFonts w:hint="eastAsia"/>
          <w:color w:val="auto"/>
          <w:highlight w:val="none"/>
        </w:rPr>
        <w:t xml:space="preserve">                          </w:t>
      </w:r>
      <w:r>
        <w:rPr>
          <w:rFonts w:hint="eastAsia" w:ascii="仿宋" w:hAnsi="仿宋" w:eastAsia="仿宋"/>
          <w:color w:val="auto"/>
          <w:sz w:val="24"/>
          <w:highlight w:val="none"/>
          <w:lang w:bidi="en-US"/>
        </w:rPr>
        <w:t>委托代理人邮箱：</w:t>
      </w:r>
      <w:r>
        <w:rPr>
          <w:rFonts w:hint="eastAsia" w:ascii="仿宋" w:hAnsi="仿宋" w:eastAsia="仿宋"/>
          <w:color w:val="auto"/>
          <w:sz w:val="24"/>
          <w:highlight w:val="none"/>
          <w:u w:val="single"/>
          <w:lang w:bidi="en-US"/>
        </w:rPr>
        <w:t xml:space="preserve">           </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年</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月</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日</w:t>
      </w:r>
    </w:p>
    <w:p>
      <w:pPr>
        <w:shd w:val="clear" w:color="auto" w:fill="auto"/>
        <w:tabs>
          <w:tab w:val="right" w:leader="dot" w:pos="9471"/>
        </w:tabs>
        <w:adjustRightInd w:val="0"/>
        <w:snapToGrid w:val="0"/>
        <w:spacing w:line="360" w:lineRule="auto"/>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注：法定代表人亲自投标时，无需提供此授权委托书，但应提供法定代表人身份证明原件和法定代表人身份证复印件。</w:t>
      </w:r>
    </w:p>
    <w:p>
      <w:pPr>
        <w:shd w:val="clear" w:color="auto" w:fill="auto"/>
        <w:rPr>
          <w:color w:val="auto"/>
          <w:highlight w:val="none"/>
          <w:lang w:bidi="en-US"/>
        </w:rPr>
      </w:pPr>
    </w:p>
    <w:p>
      <w:pPr>
        <w:shd w:val="clear" w:color="auto" w:fill="auto"/>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法定代表人身份证明书</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投标人名称：</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单位性质：</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，营业地址：</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，成立时间：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月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日，经营期限：</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姓名：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系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（投标人名称）的法定代表人（ 职务：</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电话：</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特此证明。</w:t>
      </w: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            （公司名+公章）</w:t>
      </w:r>
    </w:p>
    <w:p>
      <w:pPr>
        <w:shd w:val="clear" w:color="auto" w:fill="auto"/>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pPr>
        <w:shd w:val="clear" w:color="auto" w:fill="auto"/>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                               年     月     日</w:t>
      </w:r>
    </w:p>
    <w:p>
      <w:pPr>
        <w:shd w:val="clear" w:color="auto" w:fill="auto"/>
        <w:rPr>
          <w:b/>
          <w:bCs/>
          <w:color w:val="auto"/>
          <w:highlight w:val="none"/>
          <w:lang w:bidi="en-US"/>
        </w:rPr>
      </w:pPr>
    </w:p>
    <w:p>
      <w:pPr>
        <w:shd w:val="clear" w:color="auto" w:fill="auto"/>
        <w:rPr>
          <w:b/>
          <w:bCs/>
          <w:color w:val="auto"/>
          <w:highlight w:val="none"/>
          <w:lang w:bidi="en-US"/>
        </w:rPr>
      </w:pPr>
      <w:r>
        <w:rPr>
          <w:rFonts w:hint="eastAsia"/>
          <w:b/>
          <w:bCs/>
          <w:color w:val="auto"/>
          <w:highlight w:val="none"/>
          <w:lang w:bidi="en-US"/>
        </w:rPr>
        <w:t>法定代表人身份证复印件（正反面）：</w:t>
      </w: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b/>
          <w:bCs/>
          <w:color w:val="auto"/>
          <w:highlight w:val="none"/>
          <w:lang w:bidi="en-US"/>
        </w:rPr>
      </w:pPr>
      <w:r>
        <w:rPr>
          <w:rFonts w:hint="eastAsia"/>
          <w:b/>
          <w:bCs/>
          <w:color w:val="auto"/>
          <w:highlight w:val="none"/>
          <w:lang w:bidi="en-US"/>
        </w:rPr>
        <w:t>委托代理人身份证复印件（正反面）：</w:t>
      </w: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shd w:val="clear" w:color="auto" w:fill="auto"/>
        <w:rPr>
          <w:color w:val="auto"/>
          <w:highlight w:val="none"/>
          <w:lang w:bidi="en-US"/>
        </w:rPr>
      </w:pPr>
    </w:p>
    <w:p>
      <w:pPr>
        <w:pStyle w:val="4"/>
        <w:numPr>
          <w:ilvl w:val="0"/>
          <w:numId w:val="2"/>
        </w:numPr>
        <w:shd w:val="clear" w:color="auto" w:fill="auto"/>
        <w:rPr>
          <w:color w:val="auto"/>
          <w:highlight w:val="none"/>
        </w:rPr>
      </w:pPr>
      <w:bookmarkStart w:id="5" w:name="_Toc18372"/>
      <w:r>
        <w:rPr>
          <w:rFonts w:hint="eastAsia"/>
          <w:color w:val="auto"/>
          <w:highlight w:val="none"/>
        </w:rPr>
        <w:t>被委托人社保缴纳证明</w:t>
      </w:r>
      <w:bookmarkEnd w:id="5"/>
    </w:p>
    <w:p>
      <w:pPr>
        <w:shd w:val="clear" w:color="auto" w:fill="auto"/>
        <w:tabs>
          <w:tab w:val="right" w:leader="dot" w:pos="9471"/>
        </w:tabs>
        <w:adjustRightInd w:val="0"/>
        <w:snapToGrid w:val="0"/>
        <w:spacing w:line="360" w:lineRule="auto"/>
        <w:ind w:firstLine="420" w:firstLineChars="200"/>
        <w:rPr>
          <w:color w:val="auto"/>
          <w:highlight w:val="none"/>
        </w:rPr>
      </w:pPr>
      <w:r>
        <w:rPr>
          <w:rFonts w:hint="eastAsia"/>
          <w:color w:val="auto"/>
          <w:highlight w:val="none"/>
        </w:rPr>
        <w:t xml:space="preserve"> </w:t>
      </w:r>
      <w:r>
        <w:rPr>
          <w:rFonts w:hint="eastAsia" w:ascii="仿宋" w:hAnsi="仿宋" w:eastAsia="仿宋"/>
          <w:color w:val="auto"/>
          <w:sz w:val="24"/>
          <w:highlight w:val="none"/>
          <w:lang w:bidi="en-US"/>
        </w:rPr>
        <w:t>提供被委托人社保缴纳证明或第三方网站截图</w:t>
      </w:r>
    </w:p>
    <w:p>
      <w:pPr>
        <w:pStyle w:val="4"/>
        <w:numPr>
          <w:ilvl w:val="0"/>
          <w:numId w:val="2"/>
        </w:numPr>
        <w:shd w:val="clear" w:color="auto" w:fill="auto"/>
        <w:rPr>
          <w:color w:val="auto"/>
          <w:highlight w:val="none"/>
        </w:rPr>
      </w:pPr>
      <w:bookmarkStart w:id="6" w:name="_Toc31483"/>
      <w:r>
        <w:rPr>
          <w:rFonts w:hint="eastAsia"/>
          <w:color w:val="auto"/>
          <w:highlight w:val="none"/>
        </w:rPr>
        <w:t>投标人资质证明</w:t>
      </w:r>
      <w:bookmarkEnd w:id="6"/>
    </w:p>
    <w:p>
      <w:pPr>
        <w:shd w:val="clear" w:color="auto" w:fill="auto"/>
        <w:rPr>
          <w:rFonts w:hint="eastAsia" w:ascii="仿宋" w:hAnsi="仿宋" w:eastAsia="仿宋"/>
          <w:color w:val="auto"/>
          <w:sz w:val="24"/>
          <w:highlight w:val="none"/>
          <w:lang w:bidi="en-US"/>
        </w:rPr>
      </w:pPr>
      <w:r>
        <w:rPr>
          <w:rFonts w:hint="eastAsia"/>
          <w:color w:val="auto"/>
          <w:highlight w:val="none"/>
        </w:rPr>
        <w:t xml:space="preserve"> </w:t>
      </w:r>
      <w:r>
        <w:rPr>
          <w:color w:val="auto"/>
          <w:highlight w:val="none"/>
        </w:rPr>
        <w:t xml:space="preserve">    </w:t>
      </w:r>
      <w:r>
        <w:rPr>
          <w:rFonts w:hint="eastAsia" w:ascii="仿宋" w:hAnsi="仿宋" w:eastAsia="仿宋"/>
          <w:color w:val="auto"/>
          <w:sz w:val="24"/>
          <w:highlight w:val="none"/>
          <w:lang w:bidi="en-US"/>
        </w:rPr>
        <w:t>提供投标人企业资质类别等级证书、企业基础管理能力（ISO9001质量管理体系认证证书、ISO14001环境管理体系认证证书、OHSAS18001/ISO45001职业健康安全管理体系认证证书）</w:t>
      </w:r>
    </w:p>
    <w:p>
      <w:pPr>
        <w:pStyle w:val="4"/>
        <w:numPr>
          <w:ilvl w:val="0"/>
          <w:numId w:val="2"/>
        </w:numPr>
        <w:shd w:val="clear" w:color="auto" w:fill="auto"/>
        <w:rPr>
          <w:color w:val="auto"/>
          <w:highlight w:val="none"/>
        </w:rPr>
      </w:pPr>
      <w:bookmarkStart w:id="7" w:name="_Toc31558"/>
      <w:r>
        <w:rPr>
          <w:rFonts w:hint="eastAsia"/>
          <w:color w:val="auto"/>
          <w:highlight w:val="none"/>
        </w:rPr>
        <w:t>承诺书</w:t>
      </w:r>
      <w:bookmarkEnd w:id="7"/>
    </w:p>
    <w:p>
      <w:pPr>
        <w:pStyle w:val="12"/>
        <w:shd w:val="clear" w:color="auto" w:fill="auto"/>
        <w:spacing w:line="560" w:lineRule="exact"/>
        <w:ind w:firstLine="560" w:firstLineChars="200"/>
        <w:jc w:val="center"/>
        <w:rPr>
          <w:rFonts w:ascii="微软雅黑" w:hAnsi="微软雅黑" w:eastAsia="微软雅黑"/>
          <w:b/>
          <w:bCs/>
          <w:color w:val="auto"/>
          <w:sz w:val="28"/>
          <w:szCs w:val="28"/>
          <w:highlight w:val="none"/>
        </w:rPr>
      </w:pPr>
      <w:r>
        <w:rPr>
          <w:rFonts w:hint="eastAsia" w:ascii="微软雅黑" w:hAnsi="微软雅黑" w:eastAsia="微软雅黑"/>
          <w:b/>
          <w:bCs/>
          <w:color w:val="auto"/>
          <w:sz w:val="28"/>
          <w:szCs w:val="28"/>
          <w:highlight w:val="none"/>
        </w:rPr>
        <w:t>承诺书</w:t>
      </w:r>
    </w:p>
    <w:p>
      <w:pPr>
        <w:pStyle w:val="12"/>
        <w:shd w:val="clear" w:color="auto" w:fill="auto"/>
        <w:spacing w:line="400" w:lineRule="exact"/>
        <w:rPr>
          <w:rFonts w:ascii="仿宋" w:hAnsi="仿宋" w:eastAsia="仿宋"/>
          <w:b/>
          <w:bCs/>
          <w:color w:val="auto"/>
          <w:highlight w:val="none"/>
        </w:rPr>
      </w:pPr>
      <w:r>
        <w:rPr>
          <w:rFonts w:hint="eastAsia" w:ascii="仿宋" w:hAnsi="仿宋" w:eastAsia="仿宋"/>
          <w:b/>
          <w:bCs/>
          <w:color w:val="auto"/>
          <w:highlight w:val="none"/>
        </w:rPr>
        <w:t>舍得酒业股份有限公司：</w:t>
      </w:r>
    </w:p>
    <w:p>
      <w:pPr>
        <w:pStyle w:val="12"/>
        <w:shd w:val="clear" w:color="auto" w:fill="auto"/>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我为（</w:t>
      </w:r>
      <w:r>
        <w:rPr>
          <w:rFonts w:hint="eastAsia" w:ascii="仿宋" w:hAnsi="仿宋" w:eastAsia="仿宋"/>
          <w:color w:val="auto"/>
          <w:highlight w:val="none"/>
          <w:u w:val="single"/>
        </w:rPr>
        <w:t>资格预审申请人全称</w:t>
      </w:r>
      <w:r>
        <w:rPr>
          <w:rFonts w:hint="eastAsia" w:ascii="仿宋" w:hAnsi="仿宋" w:eastAsia="仿宋"/>
          <w:color w:val="auto"/>
          <w:highlight w:val="none"/>
        </w:rPr>
        <w:t>）的法定代表人，我方本着诚实守信的原则，自愿参与贵公司组织的</w:t>
      </w:r>
      <w:r>
        <w:rPr>
          <w:rFonts w:hint="eastAsia" w:ascii="仿宋" w:hAnsi="仿宋" w:eastAsia="仿宋"/>
          <w:color w:val="auto"/>
          <w:highlight w:val="none"/>
          <w:u w:val="single"/>
        </w:rPr>
        <w:t>（项目名称）</w:t>
      </w:r>
      <w:r>
        <w:rPr>
          <w:rFonts w:hint="eastAsia" w:ascii="仿宋" w:hAnsi="仿宋" w:eastAsia="仿宋"/>
          <w:color w:val="auto"/>
          <w:highlight w:val="none"/>
        </w:rPr>
        <w:t>项目招投标。现我方向你方郑重承诺：</w:t>
      </w:r>
    </w:p>
    <w:p>
      <w:pPr>
        <w:pStyle w:val="12"/>
        <w:shd w:val="clear" w:color="auto" w:fill="auto"/>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一、我方</w:t>
      </w:r>
      <w:r>
        <w:rPr>
          <w:rFonts w:hint="eastAsia" w:ascii="仿宋" w:hAnsi="仿宋" w:eastAsia="仿宋"/>
          <w:color w:val="auto"/>
          <w:highlight w:val="none"/>
          <w:u w:val="single"/>
        </w:rPr>
        <w:t>不采用挂靠、分包、转包、联合体方式参与投标；</w:t>
      </w:r>
      <w:r>
        <w:rPr>
          <w:rFonts w:hint="eastAsia" w:ascii="仿宋" w:hAnsi="仿宋" w:eastAsia="仿宋"/>
          <w:color w:val="auto"/>
          <w:highlight w:val="none"/>
        </w:rPr>
        <w:t>不组织、不参与串标围标；近三年内无违法记录，无知识产权侵权行为，无不正当竞争行为。</w:t>
      </w:r>
    </w:p>
    <w:p>
      <w:pPr>
        <w:pStyle w:val="12"/>
        <w:shd w:val="clear" w:color="auto" w:fill="auto"/>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hd w:val="clear" w:color="auto" w:fill="auto"/>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2"/>
        <w:shd w:val="clear" w:color="auto" w:fill="auto"/>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hd w:val="clear" w:color="auto" w:fill="auto"/>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2"/>
        <w:shd w:val="clear" w:color="auto" w:fill="auto"/>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六、如你方确需约谈我方法定代表人，我方承诺接到通知后3天内参加约谈。</w:t>
      </w:r>
    </w:p>
    <w:p>
      <w:pPr>
        <w:pStyle w:val="12"/>
        <w:shd w:val="clear" w:color="auto" w:fill="auto"/>
        <w:spacing w:line="400" w:lineRule="exact"/>
        <w:ind w:firstLine="482" w:firstLineChars="200"/>
        <w:rPr>
          <w:rFonts w:hint="eastAsia" w:ascii="仿宋" w:hAnsi="仿宋" w:eastAsia="仿宋"/>
          <w:color w:val="auto"/>
          <w:highlight w:val="none"/>
        </w:rPr>
      </w:pPr>
      <w:r>
        <w:rPr>
          <w:rFonts w:ascii="仿宋" w:hAnsi="仿宋" w:eastAsia="仿宋"/>
          <w:b/>
          <w:bCs/>
          <w:color w:val="auto"/>
          <w:highlight w:val="none"/>
        </w:rPr>
        <w:t>我方承诺：违反上述任何一条承诺，愿意接受任何处罚，包括同意你方取消我方中标资格并不予退还投标保证金或履约保证金，将我方列入黑名单，并上报建设主管部门。</w:t>
      </w:r>
    </w:p>
    <w:p>
      <w:pPr>
        <w:pStyle w:val="12"/>
        <w:shd w:val="clear" w:color="auto" w:fill="auto"/>
        <w:spacing w:line="400" w:lineRule="exact"/>
        <w:ind w:firstLine="480" w:firstLineChars="200"/>
        <w:rPr>
          <w:rFonts w:ascii="仿宋" w:hAnsi="仿宋" w:eastAsia="仿宋"/>
          <w:color w:val="auto"/>
          <w:highlight w:val="none"/>
        </w:rPr>
      </w:pPr>
      <w:r>
        <w:rPr>
          <w:rFonts w:ascii="Calibri" w:eastAsia="仿宋" w:cs="Calibri"/>
          <w:color w:val="auto"/>
          <w:highlight w:val="none"/>
        </w:rPr>
        <w:t> </w:t>
      </w:r>
      <w:r>
        <w:rPr>
          <w:rFonts w:hint="eastAsia" w:ascii="仿宋" w:hAnsi="仿宋" w:eastAsia="仿宋"/>
          <w:color w:val="auto"/>
          <w:highlight w:val="none"/>
        </w:rPr>
        <w:t>本承诺书承诺内容自签字盖章之日起生效。</w:t>
      </w:r>
    </w:p>
    <w:p>
      <w:pPr>
        <w:pStyle w:val="12"/>
        <w:shd w:val="clear" w:color="auto" w:fill="auto"/>
        <w:spacing w:line="400" w:lineRule="exact"/>
        <w:ind w:firstLine="480" w:firstLineChars="200"/>
        <w:rPr>
          <w:rFonts w:hint="eastAsia" w:ascii="仿宋" w:hAnsi="仿宋" w:eastAsia="仿宋"/>
          <w:color w:val="auto"/>
          <w:highlight w:val="none"/>
        </w:rPr>
      </w:pPr>
    </w:p>
    <w:p>
      <w:pPr>
        <w:pStyle w:val="8"/>
        <w:shd w:val="clear" w:color="auto" w:fill="auto"/>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投标申请人（盖章）：</w:t>
      </w:r>
    </w:p>
    <w:p>
      <w:pPr>
        <w:pStyle w:val="8"/>
        <w:shd w:val="clear" w:color="auto" w:fill="auto"/>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法定代表人（签字或盖章）：</w:t>
      </w:r>
    </w:p>
    <w:p>
      <w:pPr>
        <w:pStyle w:val="8"/>
        <w:shd w:val="clear" w:color="auto" w:fill="auto"/>
        <w:spacing w:before="75" w:beforeAutospacing="0" w:after="330" w:afterAutospacing="0" w:line="400" w:lineRule="exact"/>
        <w:ind w:firstLine="7200" w:firstLineChars="3000"/>
        <w:textAlignment w:val="baseline"/>
        <w:rPr>
          <w:color w:val="auto"/>
          <w:highlight w:val="none"/>
          <w:lang w:bidi="en-US"/>
        </w:rPr>
      </w:pPr>
      <w:r>
        <w:rPr>
          <w:rFonts w:hint="eastAsia" w:ascii="微软雅黑" w:hAnsi="微软雅黑" w:eastAsia="微软雅黑"/>
          <w:color w:val="auto"/>
          <w:highlight w:val="none"/>
        </w:rPr>
        <w:t xml:space="preserve">年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 xml:space="preserve">月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日 </w:t>
      </w:r>
    </w:p>
    <w:p>
      <w:pPr>
        <w:pStyle w:val="4"/>
        <w:numPr>
          <w:ilvl w:val="0"/>
          <w:numId w:val="2"/>
        </w:numPr>
        <w:shd w:val="clear" w:color="auto" w:fill="auto"/>
        <w:rPr>
          <w:color w:val="auto"/>
          <w:highlight w:val="none"/>
          <w:lang w:bidi="en-US"/>
        </w:rPr>
      </w:pPr>
      <w:bookmarkStart w:id="8" w:name="_Toc1731"/>
      <w:r>
        <w:rPr>
          <w:rFonts w:hint="eastAsia" w:ascii="宋体" w:hAnsi="宋体" w:cs="微软雅黑"/>
          <w:color w:val="auto"/>
          <w:sz w:val="30"/>
          <w:szCs w:val="30"/>
          <w:highlight w:val="none"/>
        </w:rPr>
        <w:t>廉洁保密承诺书</w:t>
      </w:r>
      <w:bookmarkEnd w:id="8"/>
    </w:p>
    <w:p>
      <w:pPr>
        <w:shd w:val="clear" w:color="auto" w:fill="auto"/>
        <w:jc w:val="center"/>
        <w:rPr>
          <w:color w:val="auto"/>
          <w:highlight w:val="none"/>
          <w:lang w:bidi="en-US"/>
        </w:rPr>
      </w:pPr>
      <w:r>
        <w:rPr>
          <w:rFonts w:hint="eastAsia" w:ascii="宋体" w:hAnsi="宋体" w:cs="微软雅黑"/>
          <w:b/>
          <w:bCs/>
          <w:color w:val="auto"/>
          <w:sz w:val="30"/>
          <w:szCs w:val="30"/>
          <w:highlight w:val="none"/>
        </w:rPr>
        <w:t>招投标/业务合作廉洁保密承诺书</w:t>
      </w:r>
    </w:p>
    <w:p>
      <w:pPr>
        <w:shd w:val="clear" w:color="auto" w:fill="auto"/>
        <w:tabs>
          <w:tab w:val="left" w:pos="540"/>
        </w:tabs>
        <w:adjustRightInd w:val="0"/>
        <w:snapToGrid w:val="0"/>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舍得酒业股份有限公司：</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根据贵司“诚信经营、廉洁合作”企业文化的总体要求，我司对贵司的企业文化表示认同和遵守，并在与贵司的招投标和业务合作中，就廉洁保密合作事宜我司特作出郑重承诺：</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1、严格遵守国家有关法律、法规及相关廉洁和保密政策的规定。</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2、不向贵司和贵司关联公司工作人员及亲属提供礼金、有价证券、支付凭证、商业预付卡、贵重物品及回扣、好处费、感谢费等。</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3、不为贵司和贵司关联公司工作人员及亲属报销或支付任何个人费用。</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4、不为贵司和贵司关联公司工作人员及亲属装修住房、婚丧嫁娶、配偶子女的工作安排以及出国(境)、旅游等方面提供方便。</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5、不向贵司和贵司关联公司工作人员及亲属提供可能影响公正履行贸易合作合同的宴请、健身、娱乐等活动。</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6、不与贵司和贵司关联公司工作人员及亲属参与赌博。</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7、未经贵司书面同意，不以任何方式向其它任何第三方提供或泄露招标方招标文件及商业技术秘密（包括但不限于招标用质量技术标准、技术图纸、工艺文件、技术要求等）。</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rPr>
        <w:t>、不做任何其他违反国家廉洁自律和商业保密规定的行为。</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highlight w:val="none"/>
        </w:rPr>
        <w:fldChar w:fldCharType="begin"/>
      </w:r>
      <w:r>
        <w:rPr>
          <w:color w:val="auto"/>
          <w:highlight w:val="none"/>
        </w:rPr>
        <w:instrText xml:space="preserve"> HYPERLINK "mailto:fkzx@tuopai.biz。" </w:instrText>
      </w:r>
      <w:r>
        <w:rPr>
          <w:color w:val="auto"/>
          <w:highlight w:val="none"/>
        </w:rPr>
        <w:fldChar w:fldCharType="separate"/>
      </w:r>
      <w:r>
        <w:rPr>
          <w:rFonts w:hint="eastAsia" w:ascii="仿宋" w:hAnsi="仿宋" w:eastAsia="仿宋" w:cs="仿宋"/>
          <w:color w:val="auto"/>
          <w:highlight w:val="none"/>
        </w:rPr>
        <w:t>fkzx@tuopai.biz。</w:t>
      </w:r>
      <w:r>
        <w:rPr>
          <w:rFonts w:hint="eastAsia" w:ascii="仿宋" w:hAnsi="仿宋" w:eastAsia="仿宋" w:cs="仿宋"/>
          <w:color w:val="auto"/>
          <w:highlight w:val="none"/>
        </w:rPr>
        <w:fldChar w:fldCharType="end"/>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pPr>
        <w:shd w:val="clear" w:color="auto" w:fill="auto"/>
        <w:tabs>
          <w:tab w:val="right" w:leader="dot" w:pos="9471"/>
        </w:tabs>
        <w:spacing w:line="460" w:lineRule="exact"/>
        <w:rPr>
          <w:rFonts w:ascii="仿宋" w:hAnsi="仿宋" w:eastAsia="仿宋" w:cs="仿宋"/>
          <w:color w:val="auto"/>
          <w:sz w:val="24"/>
          <w:highlight w:val="none"/>
        </w:rPr>
      </w:pP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承诺单位（公章）：      </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承诺单位代表（签字）：</w:t>
      </w:r>
    </w:p>
    <w:p>
      <w:pPr>
        <w:shd w:val="clear" w:color="auto" w:fill="auto"/>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shd w:val="clear" w:color="auto" w:fill="auto"/>
        <w:rPr>
          <w:color w:val="auto"/>
          <w:highlight w:val="none"/>
          <w:lang w:bidi="en-US"/>
        </w:rPr>
      </w:pPr>
    </w:p>
    <w:p>
      <w:pPr>
        <w:pStyle w:val="4"/>
        <w:numPr>
          <w:ilvl w:val="0"/>
          <w:numId w:val="2"/>
        </w:numPr>
        <w:shd w:val="clear" w:color="auto" w:fill="auto"/>
        <w:rPr>
          <w:color w:val="auto"/>
          <w:highlight w:val="none"/>
          <w:lang w:bidi="en-US"/>
        </w:rPr>
      </w:pPr>
      <w:bookmarkStart w:id="9" w:name="_Toc28835"/>
      <w:r>
        <w:rPr>
          <w:rFonts w:hint="eastAsia"/>
          <w:color w:val="auto"/>
          <w:highlight w:val="none"/>
          <w:lang w:bidi="en-US"/>
        </w:rPr>
        <w:t>关联公司证明</w:t>
      </w:r>
      <w:bookmarkEnd w:id="9"/>
    </w:p>
    <w:p>
      <w:pPr>
        <w:shd w:val="clear" w:color="auto" w:fill="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可提供第三方网站截图</w:t>
      </w:r>
    </w:p>
    <w:p>
      <w:pPr>
        <w:pStyle w:val="4"/>
        <w:numPr>
          <w:ilvl w:val="0"/>
          <w:numId w:val="2"/>
        </w:numPr>
        <w:shd w:val="clear" w:color="auto" w:fill="auto"/>
        <w:rPr>
          <w:color w:val="auto"/>
          <w:highlight w:val="none"/>
          <w:lang w:bidi="en-US"/>
        </w:rPr>
      </w:pPr>
      <w:bookmarkStart w:id="10" w:name="_Toc14765"/>
      <w:r>
        <w:rPr>
          <w:rFonts w:hint="eastAsia"/>
          <w:color w:val="auto"/>
          <w:highlight w:val="none"/>
          <w:lang w:bidi="en-US"/>
        </w:rPr>
        <w:t>拟派本项目团队主要人员及履历</w:t>
      </w:r>
      <w:bookmarkEnd w:id="10"/>
    </w:p>
    <w:p>
      <w:pPr>
        <w:shd w:val="clear" w:color="auto" w:fill="auto"/>
        <w:jc w:val="center"/>
        <w:rPr>
          <w:b/>
          <w:color w:val="auto"/>
          <w:sz w:val="24"/>
          <w:highlight w:val="none"/>
        </w:rPr>
      </w:pPr>
      <w:r>
        <w:rPr>
          <w:rFonts w:hint="eastAsia"/>
          <w:b/>
          <w:color w:val="auto"/>
          <w:sz w:val="24"/>
          <w:highlight w:val="none"/>
        </w:rPr>
        <w:t>项目管理机构组成表</w:t>
      </w:r>
    </w:p>
    <w:p>
      <w:pPr>
        <w:shd w:val="clear" w:color="auto" w:fill="auto"/>
        <w:rPr>
          <w:rFonts w:ascii="宋体" w:hAnsi="宋体" w:cs="仿宋_GB2312"/>
          <w:color w:val="auto"/>
          <w:highlight w:val="none"/>
        </w:rPr>
      </w:pPr>
    </w:p>
    <w:tbl>
      <w:tblPr>
        <w:tblStyle w:val="9"/>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bookmarkStart w:id="11"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bookmarkEnd w:id="11"/>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bl>
    <w:p>
      <w:pPr>
        <w:shd w:val="clear" w:color="auto" w:fill="auto"/>
        <w:autoSpaceDE w:val="0"/>
        <w:autoSpaceDN w:val="0"/>
        <w:adjustRightInd w:val="0"/>
        <w:snapToGrid w:val="0"/>
        <w:spacing w:line="360" w:lineRule="auto"/>
        <w:jc w:val="left"/>
        <w:rPr>
          <w:rFonts w:ascii="宋体" w:hAnsi="宋体" w:cs="仿宋_GB2312"/>
          <w:color w:val="auto"/>
          <w:kern w:val="0"/>
          <w:highlight w:val="none"/>
        </w:rPr>
      </w:pPr>
    </w:p>
    <w:p>
      <w:pPr>
        <w:shd w:val="clear" w:color="auto" w:fill="auto"/>
        <w:jc w:val="center"/>
        <w:rPr>
          <w:rFonts w:ascii="宋体" w:hAnsi="宋体" w:cs="仿宋_GB2312"/>
          <w:color w:val="auto"/>
          <w:sz w:val="28"/>
          <w:highlight w:val="none"/>
        </w:rPr>
      </w:pPr>
      <w:bookmarkStart w:id="12" w:name="_Toc208823046"/>
      <w:r>
        <w:rPr>
          <w:rFonts w:hint="eastAsia" w:ascii="宋体" w:hAnsi="宋体" w:cs="仿宋_GB2312"/>
          <w:color w:val="auto"/>
          <w:sz w:val="28"/>
          <w:highlight w:val="none"/>
        </w:rPr>
        <w:br w:type="page"/>
      </w:r>
      <w:bookmarkStart w:id="13" w:name="_Hlk48865172"/>
      <w:r>
        <w:rPr>
          <w:rFonts w:hint="eastAsia"/>
          <w:b/>
          <w:color w:val="auto"/>
          <w:sz w:val="24"/>
          <w:highlight w:val="none"/>
        </w:rPr>
        <w:t>主要人员简历表</w:t>
      </w:r>
      <w:bookmarkEnd w:id="12"/>
    </w:p>
    <w:p>
      <w:pPr>
        <w:shd w:val="clear" w:color="auto" w:fill="auto"/>
        <w:rPr>
          <w:rFonts w:ascii="宋体" w:hAnsi="宋体" w:cs="仿宋_GB2312"/>
          <w:color w:val="auto"/>
          <w:highlight w:val="none"/>
        </w:rPr>
      </w:pPr>
    </w:p>
    <w:tbl>
      <w:tblPr>
        <w:tblStyle w:val="9"/>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姓</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tabs>
                <w:tab w:val="left" w:pos="2820"/>
                <w:tab w:val="left" w:pos="408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年</w:t>
            </w:r>
            <w:r>
              <w:rPr>
                <w:rFonts w:hint="eastAsia" w:ascii="宋体" w:hAnsi="宋体" w:cs="仿宋_GB2312"/>
                <w:color w:val="auto"/>
                <w:spacing w:val="-1"/>
                <w:kern w:val="0"/>
                <w:szCs w:val="21"/>
                <w:highlight w:val="none"/>
              </w:rPr>
              <w:t>毕</w:t>
            </w:r>
            <w:r>
              <w:rPr>
                <w:rFonts w:hint="eastAsia" w:ascii="宋体" w:hAnsi="宋体" w:cs="仿宋_GB2312"/>
                <w:color w:val="auto"/>
                <w:kern w:val="0"/>
                <w:szCs w:val="21"/>
                <w:highlight w:val="none"/>
              </w:rPr>
              <w:t>业于</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学校</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时</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shd w:val="clear" w:color="auto" w:fill="auto"/>
              <w:autoSpaceDE w:val="0"/>
              <w:autoSpaceDN w:val="0"/>
              <w:adjustRightInd w:val="0"/>
              <w:snapToGrid w:val="0"/>
              <w:spacing w:line="360" w:lineRule="auto"/>
              <w:jc w:val="left"/>
              <w:rPr>
                <w:rFonts w:ascii="宋体" w:hAnsi="宋体" w:cs="仿宋_GB2312"/>
                <w:color w:val="auto"/>
                <w:kern w:val="0"/>
                <w:sz w:val="24"/>
                <w:highlight w:val="none"/>
              </w:rPr>
            </w:pPr>
          </w:p>
        </w:tc>
      </w:tr>
    </w:tbl>
    <w:p>
      <w:pPr>
        <w:shd w:val="clear" w:color="auto" w:fill="auto"/>
        <w:spacing w:before="156" w:beforeLines="50"/>
        <w:ind w:firstLine="420" w:firstLineChars="200"/>
        <w:rPr>
          <w:rFonts w:ascii="宋体" w:hAnsi="宋体" w:cs="仿宋_GB2312"/>
          <w:color w:val="auto"/>
          <w:highlight w:val="none"/>
        </w:rPr>
      </w:pPr>
      <w:r>
        <w:rPr>
          <w:rFonts w:hint="eastAsia" w:ascii="宋体" w:hAnsi="宋体" w:cs="仿宋_GB2312"/>
          <w:color w:val="auto"/>
          <w:highlight w:val="none"/>
        </w:rPr>
        <w:t>注：一人一表，并提供要求的证明材料。</w:t>
      </w:r>
    </w:p>
    <w:p>
      <w:pPr>
        <w:shd w:val="clear" w:color="auto" w:fill="auto"/>
        <w:rPr>
          <w:rFonts w:ascii="仿宋" w:hAnsi="仿宋" w:eastAsia="仿宋"/>
          <w:color w:val="auto"/>
          <w:sz w:val="24"/>
          <w:highlight w:val="none"/>
          <w:lang w:bidi="en-US"/>
        </w:rPr>
      </w:pPr>
    </w:p>
    <w:p>
      <w:pPr>
        <w:shd w:val="clear" w:color="auto" w:fill="auto"/>
        <w:ind w:firstLine="482" w:firstLineChars="200"/>
        <w:rPr>
          <w:rFonts w:hint="eastAsia" w:ascii="仿宋" w:hAnsi="仿宋" w:eastAsia="仿宋"/>
          <w:b/>
          <w:bCs/>
          <w:color w:val="auto"/>
          <w:sz w:val="24"/>
          <w:highlight w:val="none"/>
          <w:lang w:bidi="en-US"/>
        </w:rPr>
      </w:pPr>
      <w:r>
        <w:rPr>
          <w:rFonts w:hint="eastAsia" w:ascii="仿宋" w:hAnsi="仿宋" w:eastAsia="仿宋"/>
          <w:b/>
          <w:bCs/>
          <w:color w:val="auto"/>
          <w:sz w:val="24"/>
          <w:highlight w:val="none"/>
          <w:lang w:bidi="en-US"/>
        </w:rPr>
        <w:t>拟派项目团队要求：</w:t>
      </w:r>
    </w:p>
    <w:p>
      <w:pPr>
        <w:shd w:val="clear" w:color="auto" w:fill="auto"/>
        <w:rPr>
          <w:rFonts w:hint="eastAsia" w:ascii="仿宋" w:hAnsi="仿宋" w:eastAsia="仿宋"/>
          <w:color w:val="auto"/>
          <w:sz w:val="24"/>
          <w:highlight w:val="none"/>
          <w:lang w:bidi="en-US"/>
        </w:rPr>
      </w:pPr>
    </w:p>
    <w:p>
      <w:pPr>
        <w:shd w:val="clear" w:color="auto" w:fill="auto"/>
        <w:ind w:firstLine="480" w:firstLineChars="200"/>
        <w:rPr>
          <w:rFonts w:hint="eastAsia" w:ascii="仿宋" w:hAnsi="仿宋" w:eastAsia="仿宋" w:cs="Times New Roman"/>
          <w:color w:val="auto"/>
          <w:sz w:val="24"/>
          <w:highlight w:val="none"/>
          <w:lang w:bidi="en-US"/>
        </w:rPr>
      </w:pPr>
      <w:r>
        <w:rPr>
          <w:rFonts w:hint="eastAsia" w:ascii="仿宋" w:hAnsi="仿宋" w:eastAsia="仿宋"/>
          <w:color w:val="auto"/>
          <w:sz w:val="24"/>
          <w:highlight w:val="none"/>
          <w:lang w:bidi="en-US"/>
        </w:rPr>
        <w:t>1、拟派项目经理和技术负责人其中一人须具有机电工程或市政公用工程一级建造师及以上资格证书，拟派项目经理和技术负责人均在投标人单</w:t>
      </w:r>
      <w:r>
        <w:rPr>
          <w:rFonts w:hint="eastAsia" w:ascii="仿宋" w:hAnsi="仿宋" w:eastAsia="仿宋" w:cs="Times New Roman"/>
          <w:color w:val="auto"/>
          <w:sz w:val="24"/>
          <w:highlight w:val="none"/>
          <w:lang w:bidi="en-US"/>
        </w:rPr>
        <w:t>位购买6个月以上社保。</w:t>
      </w:r>
    </w:p>
    <w:p>
      <w:pPr>
        <w:shd w:val="clear" w:color="auto" w:fill="auto"/>
        <w:ind w:firstLine="480" w:firstLineChars="200"/>
        <w:rPr>
          <w:rFonts w:hint="eastAsia" w:ascii="仿宋" w:hAnsi="仿宋" w:eastAsia="仿宋" w:cs="Times New Roman"/>
          <w:color w:val="auto"/>
          <w:sz w:val="24"/>
          <w:highlight w:val="none"/>
          <w:lang w:bidi="en-US"/>
        </w:rPr>
      </w:pPr>
      <w:r>
        <w:rPr>
          <w:rFonts w:hint="eastAsia" w:ascii="仿宋" w:hAnsi="仿宋" w:eastAsia="仿宋" w:cs="Times New Roman"/>
          <w:color w:val="auto"/>
          <w:sz w:val="24"/>
          <w:highlight w:val="none"/>
          <w:lang w:bidi="en-US"/>
        </w:rPr>
        <w:t>2、其他主要管理人员持有相关专业的有效证件、在投标人单位购买6个月以上社保的缴费证明。</w:t>
      </w:r>
    </w:p>
    <w:p>
      <w:pPr>
        <w:shd w:val="clear" w:color="auto" w:fill="auto"/>
        <w:rPr>
          <w:color w:val="auto"/>
          <w:highlight w:val="none"/>
          <w:lang w:bidi="en-US"/>
        </w:rPr>
      </w:pPr>
      <w:r>
        <w:rPr>
          <w:rFonts w:hint="eastAsia"/>
          <w:color w:val="auto"/>
          <w:highlight w:val="none"/>
          <w:lang w:bidi="en-US"/>
        </w:rPr>
        <w:t xml:space="preserve"> </w:t>
      </w:r>
    </w:p>
    <w:p>
      <w:pPr>
        <w:pStyle w:val="4"/>
        <w:numPr>
          <w:ilvl w:val="0"/>
          <w:numId w:val="2"/>
        </w:numPr>
        <w:shd w:val="clear" w:color="auto" w:fill="auto"/>
        <w:rPr>
          <w:color w:val="auto"/>
          <w:highlight w:val="none"/>
        </w:rPr>
      </w:pPr>
      <w:bookmarkStart w:id="14" w:name="_Toc1920"/>
      <w:r>
        <w:rPr>
          <w:rFonts w:hint="eastAsia"/>
          <w:color w:val="auto"/>
          <w:highlight w:val="none"/>
        </w:rPr>
        <w:t>诚信度</w:t>
      </w:r>
      <w:bookmarkEnd w:id="14"/>
    </w:p>
    <w:p>
      <w:pPr>
        <w:shd w:val="clear" w:color="auto" w:fill="auto"/>
        <w:ind w:firstLine="240" w:firstLineChars="100"/>
        <w:rPr>
          <w:rFonts w:ascii="仿宋" w:hAnsi="仿宋" w:eastAsia="仿宋"/>
          <w:color w:val="auto"/>
          <w:sz w:val="24"/>
          <w:highlight w:val="none"/>
          <w:lang w:bidi="en-US"/>
        </w:rPr>
      </w:pPr>
      <w:r>
        <w:rPr>
          <w:rFonts w:hint="eastAsia" w:ascii="仿宋" w:hAnsi="仿宋" w:eastAsia="仿宋"/>
          <w:color w:val="auto"/>
          <w:sz w:val="24"/>
          <w:highlight w:val="none"/>
          <w:lang w:bidi="en-US"/>
        </w:rPr>
        <w:t>可提供通过“信用中国”网站（www.creditchina.gov.cn)查询后无不良记录的证明材料。</w:t>
      </w:r>
    </w:p>
    <w:p>
      <w:pPr>
        <w:pStyle w:val="4"/>
        <w:numPr>
          <w:ilvl w:val="0"/>
          <w:numId w:val="2"/>
        </w:numPr>
        <w:shd w:val="clear" w:color="auto" w:fill="auto"/>
        <w:rPr>
          <w:color w:val="auto"/>
          <w:highlight w:val="none"/>
        </w:rPr>
      </w:pPr>
      <w:bookmarkStart w:id="15" w:name="_Toc11363"/>
      <w:r>
        <w:rPr>
          <w:rFonts w:hint="eastAsia"/>
          <w:color w:val="auto"/>
          <w:highlight w:val="none"/>
        </w:rPr>
        <w:t>财务状况</w:t>
      </w:r>
      <w:bookmarkEnd w:id="15"/>
    </w:p>
    <w:p>
      <w:pPr>
        <w:shd w:val="clear" w:color="auto" w:fill="auto"/>
        <w:tabs>
          <w:tab w:val="right" w:leader="dot" w:pos="9471"/>
        </w:tabs>
        <w:adjustRightInd w:val="0"/>
        <w:snapToGrid w:val="0"/>
        <w:spacing w:line="360" w:lineRule="auto"/>
        <w:ind w:firstLine="480" w:firstLineChars="200"/>
        <w:rPr>
          <w:color w:val="auto"/>
          <w:highlight w:val="none"/>
        </w:rPr>
      </w:pPr>
      <w:r>
        <w:rPr>
          <w:rFonts w:hint="eastAsia" w:ascii="仿宋" w:hAnsi="仿宋" w:eastAsia="仿宋"/>
          <w:color w:val="auto"/>
          <w:sz w:val="24"/>
          <w:highlight w:val="none"/>
          <w:lang w:bidi="en-US"/>
        </w:rPr>
        <w:t>提供2020-2022年经审计的财务三表（资产负债表、现金流量表、利润表）及第三方会计师事务所年度审计报告。</w:t>
      </w:r>
    </w:p>
    <w:p>
      <w:pPr>
        <w:pStyle w:val="4"/>
        <w:numPr>
          <w:ilvl w:val="0"/>
          <w:numId w:val="2"/>
        </w:numPr>
        <w:shd w:val="clear" w:color="auto" w:fill="auto"/>
        <w:rPr>
          <w:color w:val="auto"/>
          <w:highlight w:val="none"/>
        </w:rPr>
      </w:pPr>
      <w:bookmarkStart w:id="16" w:name="_Toc14096"/>
      <w:r>
        <w:rPr>
          <w:rFonts w:hint="eastAsia"/>
          <w:color w:val="auto"/>
          <w:highlight w:val="none"/>
        </w:rPr>
        <w:t>同类</w:t>
      </w:r>
      <w:r>
        <w:rPr>
          <w:color w:val="auto"/>
          <w:highlight w:val="none"/>
        </w:rPr>
        <w:t>业绩</w:t>
      </w:r>
      <w:r>
        <w:rPr>
          <w:rFonts w:hint="eastAsia"/>
          <w:color w:val="auto"/>
          <w:highlight w:val="none"/>
        </w:rPr>
        <w:t>一栏表</w:t>
      </w:r>
      <w:bookmarkEnd w:id="16"/>
    </w:p>
    <w:p>
      <w:pPr>
        <w:shd w:val="clear" w:color="auto" w:fill="auto"/>
        <w:tabs>
          <w:tab w:val="right" w:leader="dot" w:pos="9471"/>
        </w:tabs>
        <w:adjustRightInd w:val="0"/>
        <w:snapToGrid w:val="0"/>
        <w:spacing w:line="360" w:lineRule="auto"/>
        <w:ind w:firstLine="480" w:firstLineChars="200"/>
        <w:rPr>
          <w:rFonts w:hint="eastAsia" w:ascii="仿宋" w:hAnsi="仿宋" w:eastAsia="仿宋" w:cs="Times New Roman"/>
          <w:color w:val="auto"/>
          <w:sz w:val="24"/>
          <w:highlight w:val="none"/>
          <w:lang w:bidi="en-US"/>
        </w:rPr>
      </w:pPr>
      <w:r>
        <w:rPr>
          <w:rFonts w:hint="eastAsia" w:ascii="仿宋" w:hAnsi="仿宋" w:eastAsia="仿宋" w:cs="Times New Roman"/>
          <w:color w:val="auto"/>
          <w:sz w:val="24"/>
          <w:highlight w:val="none"/>
          <w:lang w:bidi="en-US"/>
        </w:rPr>
        <w:t>投标截止日前5年内，指2018年1月1日起至投标截止日止应承担过</w:t>
      </w:r>
      <w:r>
        <w:rPr>
          <w:rFonts w:hint="eastAsia" w:ascii="仿宋" w:hAnsi="仿宋" w:eastAsia="仿宋" w:cs="Times New Roman"/>
          <w:color w:val="auto"/>
          <w:sz w:val="24"/>
          <w:highlight w:val="none"/>
          <w:lang w:val="en-US" w:eastAsia="zh-CN" w:bidi="en-US"/>
        </w:rPr>
        <w:t>新建/扩建至少</w:t>
      </w:r>
      <w:r>
        <w:rPr>
          <w:rFonts w:hint="eastAsia" w:ascii="仿宋" w:hAnsi="仿宋" w:eastAsia="仿宋" w:cs="Times New Roman"/>
          <w:color w:val="auto"/>
          <w:sz w:val="24"/>
          <w:highlight w:val="none"/>
          <w:lang w:bidi="en-US"/>
        </w:rPr>
        <w:t>1个日处理</w:t>
      </w:r>
      <w:r>
        <w:rPr>
          <w:rFonts w:hint="eastAsia" w:ascii="仿宋" w:hAnsi="仿宋" w:eastAsia="仿宋" w:cs="Times New Roman"/>
          <w:color w:val="auto"/>
          <w:sz w:val="24"/>
          <w:highlight w:val="none"/>
          <w:lang w:val="en-US" w:eastAsia="zh-CN" w:bidi="en-US"/>
        </w:rPr>
        <w:t>量</w:t>
      </w:r>
      <w:r>
        <w:rPr>
          <w:rFonts w:hint="eastAsia" w:ascii="仿宋" w:hAnsi="仿宋" w:eastAsia="仿宋" w:cs="Times New Roman"/>
          <w:color w:val="auto"/>
          <w:sz w:val="24"/>
          <w:highlight w:val="none"/>
          <w:lang w:bidi="en-US"/>
        </w:rPr>
        <w:t>10000m³及以上的污水处理厂业绩（须包含工艺设备采购及安装的施工范围，已完成项目业绩认定时间以竣工验收证明材料上的竣工时间为准，正在施工或新承接项目业绩认定时间以合同协议书签订时间为准）。</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shd w:val="clear" w:color="auto" w:fill="auto"/>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680" w:type="dxa"/>
            <w:noWrap w:val="0"/>
            <w:vAlign w:val="center"/>
          </w:tcPr>
          <w:p>
            <w:pPr>
              <w:shd w:val="clear" w:color="auto" w:fill="auto"/>
              <w:jc w:val="center"/>
              <w:rPr>
                <w:rFonts w:ascii="仿宋" w:hAnsi="仿宋" w:eastAsia="仿宋" w:cs="仿宋"/>
                <w:color w:val="auto"/>
                <w:highlight w:val="none"/>
              </w:rPr>
            </w:pPr>
            <w:r>
              <w:rPr>
                <w:rFonts w:hint="eastAsia" w:ascii="仿宋" w:hAnsi="仿宋" w:eastAsia="仿宋" w:cs="仿宋"/>
                <w:color w:val="auto"/>
                <w:highlight w:val="none"/>
              </w:rPr>
              <w:t>合同签署年份</w:t>
            </w:r>
          </w:p>
        </w:tc>
        <w:tc>
          <w:tcPr>
            <w:tcW w:w="2058" w:type="dxa"/>
            <w:noWrap w:val="0"/>
            <w:vAlign w:val="center"/>
          </w:tcPr>
          <w:p>
            <w:pPr>
              <w:shd w:val="clear" w:color="auto" w:fill="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rPr>
              <w:t>甲方公司名称</w:t>
            </w:r>
            <w:r>
              <w:rPr>
                <w:rFonts w:hint="eastAsia" w:ascii="仿宋" w:hAnsi="仿宋" w:eastAsia="仿宋" w:cs="仿宋"/>
                <w:color w:val="auto"/>
                <w:highlight w:val="none"/>
                <w:lang w:val="en-US" w:eastAsia="zh-CN"/>
              </w:rPr>
              <w:t>/联系人及联系电话</w:t>
            </w:r>
          </w:p>
        </w:tc>
        <w:tc>
          <w:tcPr>
            <w:tcW w:w="1245" w:type="dxa"/>
            <w:noWrap w:val="0"/>
            <w:vAlign w:val="center"/>
          </w:tcPr>
          <w:p>
            <w:pPr>
              <w:shd w:val="clear" w:color="auto" w:fill="auto"/>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1762" w:type="dxa"/>
            <w:noWrap w:val="0"/>
            <w:vAlign w:val="center"/>
          </w:tcPr>
          <w:p>
            <w:pPr>
              <w:shd w:val="clear" w:color="auto" w:fill="auto"/>
              <w:jc w:val="center"/>
              <w:rPr>
                <w:rFonts w:ascii="仿宋" w:hAnsi="仿宋" w:eastAsia="仿宋" w:cs="仿宋"/>
                <w:color w:val="auto"/>
                <w:highlight w:val="none"/>
              </w:rPr>
            </w:pPr>
            <w:r>
              <w:rPr>
                <w:rFonts w:hint="eastAsia" w:ascii="仿宋" w:hAnsi="仿宋" w:eastAsia="仿宋" w:cs="仿宋"/>
                <w:color w:val="auto"/>
                <w:highlight w:val="none"/>
              </w:rPr>
              <w:t>服务内容</w:t>
            </w:r>
          </w:p>
        </w:tc>
        <w:tc>
          <w:tcPr>
            <w:tcW w:w="1732" w:type="dxa"/>
            <w:noWrap w:val="0"/>
            <w:vAlign w:val="center"/>
          </w:tcPr>
          <w:p>
            <w:pPr>
              <w:shd w:val="clear" w:color="auto" w:fill="auto"/>
              <w:jc w:val="center"/>
              <w:rPr>
                <w:rFonts w:ascii="仿宋" w:hAnsi="仿宋" w:eastAsia="仿宋" w:cs="仿宋"/>
                <w:color w:val="auto"/>
                <w:highlight w:val="none"/>
              </w:rPr>
            </w:pPr>
            <w:r>
              <w:rPr>
                <w:rFonts w:hint="eastAsia" w:ascii="仿宋" w:hAnsi="仿宋" w:eastAsia="仿宋" w:cs="仿宋"/>
                <w:color w:val="auto"/>
                <w:highlight w:val="none"/>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shd w:val="clear" w:color="auto" w:fill="auto"/>
              <w:rPr>
                <w:rFonts w:ascii="仿宋" w:hAnsi="仿宋" w:eastAsia="仿宋" w:cs="仿宋"/>
                <w:color w:val="auto"/>
                <w:highlight w:val="none"/>
              </w:rPr>
            </w:pPr>
          </w:p>
        </w:tc>
        <w:tc>
          <w:tcPr>
            <w:tcW w:w="1680" w:type="dxa"/>
            <w:noWrap w:val="0"/>
            <w:vAlign w:val="center"/>
          </w:tcPr>
          <w:p>
            <w:pPr>
              <w:shd w:val="clear" w:color="auto" w:fill="auto"/>
              <w:rPr>
                <w:rFonts w:ascii="仿宋" w:hAnsi="仿宋" w:eastAsia="仿宋" w:cs="仿宋"/>
                <w:color w:val="auto"/>
                <w:highlight w:val="none"/>
              </w:rPr>
            </w:pPr>
          </w:p>
        </w:tc>
        <w:tc>
          <w:tcPr>
            <w:tcW w:w="2058" w:type="dxa"/>
            <w:noWrap w:val="0"/>
            <w:vAlign w:val="center"/>
          </w:tcPr>
          <w:p>
            <w:pPr>
              <w:shd w:val="clear" w:color="auto" w:fill="auto"/>
              <w:rPr>
                <w:rFonts w:ascii="仿宋" w:hAnsi="仿宋" w:eastAsia="仿宋" w:cs="仿宋"/>
                <w:color w:val="auto"/>
                <w:highlight w:val="none"/>
              </w:rPr>
            </w:pPr>
          </w:p>
        </w:tc>
        <w:tc>
          <w:tcPr>
            <w:tcW w:w="1245" w:type="dxa"/>
            <w:noWrap w:val="0"/>
            <w:vAlign w:val="center"/>
          </w:tcPr>
          <w:p>
            <w:pPr>
              <w:shd w:val="clear" w:color="auto" w:fill="auto"/>
              <w:rPr>
                <w:rFonts w:ascii="仿宋" w:hAnsi="仿宋" w:eastAsia="仿宋" w:cs="仿宋"/>
                <w:color w:val="auto"/>
                <w:highlight w:val="none"/>
              </w:rPr>
            </w:pPr>
          </w:p>
        </w:tc>
        <w:tc>
          <w:tcPr>
            <w:tcW w:w="1762" w:type="dxa"/>
            <w:noWrap w:val="0"/>
            <w:vAlign w:val="center"/>
          </w:tcPr>
          <w:p>
            <w:pPr>
              <w:shd w:val="clear" w:color="auto" w:fill="auto"/>
              <w:rPr>
                <w:rFonts w:ascii="仿宋" w:hAnsi="仿宋" w:eastAsia="仿宋" w:cs="仿宋"/>
                <w:color w:val="auto"/>
                <w:highlight w:val="none"/>
              </w:rPr>
            </w:pPr>
          </w:p>
        </w:tc>
        <w:tc>
          <w:tcPr>
            <w:tcW w:w="1732" w:type="dxa"/>
            <w:noWrap w:val="0"/>
            <w:vAlign w:val="center"/>
          </w:tcPr>
          <w:p>
            <w:pPr>
              <w:shd w:val="clear" w:color="auto" w:fill="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shd w:val="clear" w:color="auto" w:fill="auto"/>
              <w:rPr>
                <w:rFonts w:ascii="仿宋" w:hAnsi="仿宋" w:eastAsia="仿宋" w:cs="仿宋"/>
                <w:color w:val="auto"/>
                <w:highlight w:val="none"/>
              </w:rPr>
            </w:pPr>
          </w:p>
        </w:tc>
        <w:tc>
          <w:tcPr>
            <w:tcW w:w="1680" w:type="dxa"/>
            <w:noWrap w:val="0"/>
            <w:vAlign w:val="center"/>
          </w:tcPr>
          <w:p>
            <w:pPr>
              <w:shd w:val="clear" w:color="auto" w:fill="auto"/>
              <w:rPr>
                <w:rFonts w:ascii="仿宋" w:hAnsi="仿宋" w:eastAsia="仿宋" w:cs="仿宋"/>
                <w:color w:val="auto"/>
                <w:highlight w:val="none"/>
              </w:rPr>
            </w:pPr>
          </w:p>
        </w:tc>
        <w:tc>
          <w:tcPr>
            <w:tcW w:w="2058" w:type="dxa"/>
            <w:noWrap w:val="0"/>
            <w:vAlign w:val="center"/>
          </w:tcPr>
          <w:p>
            <w:pPr>
              <w:shd w:val="clear" w:color="auto" w:fill="auto"/>
              <w:rPr>
                <w:rFonts w:ascii="仿宋" w:hAnsi="仿宋" w:eastAsia="仿宋" w:cs="仿宋"/>
                <w:color w:val="auto"/>
                <w:highlight w:val="none"/>
              </w:rPr>
            </w:pPr>
          </w:p>
        </w:tc>
        <w:tc>
          <w:tcPr>
            <w:tcW w:w="1245" w:type="dxa"/>
            <w:noWrap w:val="0"/>
            <w:vAlign w:val="center"/>
          </w:tcPr>
          <w:p>
            <w:pPr>
              <w:shd w:val="clear" w:color="auto" w:fill="auto"/>
              <w:rPr>
                <w:rFonts w:ascii="仿宋" w:hAnsi="仿宋" w:eastAsia="仿宋" w:cs="仿宋"/>
                <w:color w:val="auto"/>
                <w:highlight w:val="none"/>
              </w:rPr>
            </w:pPr>
          </w:p>
        </w:tc>
        <w:tc>
          <w:tcPr>
            <w:tcW w:w="1762" w:type="dxa"/>
            <w:noWrap w:val="0"/>
            <w:vAlign w:val="center"/>
          </w:tcPr>
          <w:p>
            <w:pPr>
              <w:shd w:val="clear" w:color="auto" w:fill="auto"/>
              <w:rPr>
                <w:rFonts w:ascii="仿宋" w:hAnsi="仿宋" w:eastAsia="仿宋" w:cs="仿宋"/>
                <w:color w:val="auto"/>
                <w:highlight w:val="none"/>
              </w:rPr>
            </w:pPr>
          </w:p>
        </w:tc>
        <w:tc>
          <w:tcPr>
            <w:tcW w:w="1732" w:type="dxa"/>
            <w:noWrap w:val="0"/>
            <w:vAlign w:val="center"/>
          </w:tcPr>
          <w:p>
            <w:pPr>
              <w:shd w:val="clear" w:color="auto" w:fill="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shd w:val="clear" w:color="auto" w:fill="auto"/>
              <w:rPr>
                <w:rFonts w:ascii="仿宋" w:hAnsi="仿宋" w:eastAsia="仿宋" w:cs="仿宋"/>
                <w:color w:val="auto"/>
                <w:highlight w:val="none"/>
              </w:rPr>
            </w:pPr>
          </w:p>
        </w:tc>
        <w:tc>
          <w:tcPr>
            <w:tcW w:w="1680" w:type="dxa"/>
            <w:noWrap w:val="0"/>
            <w:vAlign w:val="center"/>
          </w:tcPr>
          <w:p>
            <w:pPr>
              <w:shd w:val="clear" w:color="auto" w:fill="auto"/>
              <w:rPr>
                <w:rFonts w:ascii="仿宋" w:hAnsi="仿宋" w:eastAsia="仿宋" w:cs="仿宋"/>
                <w:color w:val="auto"/>
                <w:highlight w:val="none"/>
              </w:rPr>
            </w:pPr>
          </w:p>
        </w:tc>
        <w:tc>
          <w:tcPr>
            <w:tcW w:w="2058" w:type="dxa"/>
            <w:noWrap w:val="0"/>
            <w:vAlign w:val="center"/>
          </w:tcPr>
          <w:p>
            <w:pPr>
              <w:shd w:val="clear" w:color="auto" w:fill="auto"/>
              <w:rPr>
                <w:rFonts w:ascii="仿宋" w:hAnsi="仿宋" w:eastAsia="仿宋" w:cs="仿宋"/>
                <w:color w:val="auto"/>
                <w:highlight w:val="none"/>
              </w:rPr>
            </w:pPr>
          </w:p>
        </w:tc>
        <w:tc>
          <w:tcPr>
            <w:tcW w:w="1245" w:type="dxa"/>
            <w:noWrap w:val="0"/>
            <w:vAlign w:val="center"/>
          </w:tcPr>
          <w:p>
            <w:pPr>
              <w:shd w:val="clear" w:color="auto" w:fill="auto"/>
              <w:rPr>
                <w:rFonts w:ascii="仿宋" w:hAnsi="仿宋" w:eastAsia="仿宋" w:cs="仿宋"/>
                <w:color w:val="auto"/>
                <w:highlight w:val="none"/>
              </w:rPr>
            </w:pPr>
          </w:p>
        </w:tc>
        <w:tc>
          <w:tcPr>
            <w:tcW w:w="1762" w:type="dxa"/>
            <w:noWrap w:val="0"/>
            <w:vAlign w:val="center"/>
          </w:tcPr>
          <w:p>
            <w:pPr>
              <w:shd w:val="clear" w:color="auto" w:fill="auto"/>
              <w:rPr>
                <w:rFonts w:ascii="仿宋" w:hAnsi="仿宋" w:eastAsia="仿宋" w:cs="仿宋"/>
                <w:color w:val="auto"/>
                <w:highlight w:val="none"/>
              </w:rPr>
            </w:pPr>
          </w:p>
        </w:tc>
        <w:tc>
          <w:tcPr>
            <w:tcW w:w="1732" w:type="dxa"/>
            <w:noWrap w:val="0"/>
            <w:vAlign w:val="center"/>
          </w:tcPr>
          <w:p>
            <w:pPr>
              <w:shd w:val="clear" w:color="auto" w:fill="auto"/>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shd w:val="clear" w:color="auto" w:fill="auto"/>
              <w:rPr>
                <w:rFonts w:ascii="仿宋" w:hAnsi="仿宋" w:eastAsia="仿宋" w:cs="仿宋"/>
                <w:color w:val="auto"/>
                <w:highlight w:val="none"/>
              </w:rPr>
            </w:pPr>
          </w:p>
        </w:tc>
        <w:tc>
          <w:tcPr>
            <w:tcW w:w="1680" w:type="dxa"/>
            <w:noWrap w:val="0"/>
            <w:vAlign w:val="center"/>
          </w:tcPr>
          <w:p>
            <w:pPr>
              <w:shd w:val="clear" w:color="auto" w:fill="auto"/>
              <w:rPr>
                <w:rFonts w:ascii="仿宋" w:hAnsi="仿宋" w:eastAsia="仿宋" w:cs="仿宋"/>
                <w:color w:val="auto"/>
                <w:highlight w:val="none"/>
              </w:rPr>
            </w:pPr>
          </w:p>
        </w:tc>
        <w:tc>
          <w:tcPr>
            <w:tcW w:w="2058" w:type="dxa"/>
            <w:noWrap w:val="0"/>
            <w:vAlign w:val="center"/>
          </w:tcPr>
          <w:p>
            <w:pPr>
              <w:shd w:val="clear" w:color="auto" w:fill="auto"/>
              <w:rPr>
                <w:rFonts w:ascii="仿宋" w:hAnsi="仿宋" w:eastAsia="仿宋" w:cs="仿宋"/>
                <w:color w:val="auto"/>
                <w:highlight w:val="none"/>
              </w:rPr>
            </w:pPr>
          </w:p>
        </w:tc>
        <w:tc>
          <w:tcPr>
            <w:tcW w:w="1245" w:type="dxa"/>
            <w:noWrap w:val="0"/>
            <w:vAlign w:val="center"/>
          </w:tcPr>
          <w:p>
            <w:pPr>
              <w:shd w:val="clear" w:color="auto" w:fill="auto"/>
              <w:rPr>
                <w:rFonts w:ascii="仿宋" w:hAnsi="仿宋" w:eastAsia="仿宋" w:cs="仿宋"/>
                <w:color w:val="auto"/>
                <w:highlight w:val="none"/>
              </w:rPr>
            </w:pPr>
          </w:p>
        </w:tc>
        <w:tc>
          <w:tcPr>
            <w:tcW w:w="1762" w:type="dxa"/>
            <w:noWrap w:val="0"/>
            <w:vAlign w:val="center"/>
          </w:tcPr>
          <w:p>
            <w:pPr>
              <w:shd w:val="clear" w:color="auto" w:fill="auto"/>
              <w:rPr>
                <w:rFonts w:ascii="仿宋" w:hAnsi="仿宋" w:eastAsia="仿宋" w:cs="仿宋"/>
                <w:color w:val="auto"/>
                <w:highlight w:val="none"/>
              </w:rPr>
            </w:pPr>
          </w:p>
        </w:tc>
        <w:tc>
          <w:tcPr>
            <w:tcW w:w="1732" w:type="dxa"/>
            <w:noWrap w:val="0"/>
            <w:vAlign w:val="center"/>
          </w:tcPr>
          <w:p>
            <w:pPr>
              <w:shd w:val="clear" w:color="auto" w:fill="auto"/>
              <w:rPr>
                <w:rFonts w:ascii="仿宋" w:hAnsi="仿宋" w:eastAsia="仿宋" w:cs="仿宋"/>
                <w:color w:val="auto"/>
                <w:highlight w:val="none"/>
              </w:rPr>
            </w:pPr>
          </w:p>
        </w:tc>
      </w:tr>
    </w:tbl>
    <w:p>
      <w:pPr>
        <w:pStyle w:val="4"/>
        <w:numPr>
          <w:ilvl w:val="0"/>
          <w:numId w:val="2"/>
        </w:numPr>
        <w:shd w:val="clear" w:color="auto" w:fill="auto"/>
        <w:rPr>
          <w:color w:val="auto"/>
          <w:highlight w:val="none"/>
        </w:rPr>
      </w:pPr>
      <w:bookmarkStart w:id="17" w:name="_Toc32186"/>
      <w:r>
        <w:rPr>
          <w:color w:val="auto"/>
          <w:highlight w:val="none"/>
        </w:rPr>
        <w:t>业绩证明</w:t>
      </w:r>
      <w:bookmarkEnd w:id="17"/>
    </w:p>
    <w:p>
      <w:pPr>
        <w:shd w:val="clear" w:color="auto" w:fill="auto"/>
        <w:tabs>
          <w:tab w:val="right" w:leader="dot" w:pos="9471"/>
        </w:tabs>
        <w:adjustRightInd w:val="0"/>
        <w:snapToGrid w:val="0"/>
        <w:spacing w:line="360" w:lineRule="auto"/>
        <w:ind w:firstLine="480" w:firstLineChars="200"/>
        <w:rPr>
          <w:rFonts w:hint="eastAsia" w:ascii="仿宋" w:hAnsi="仿宋" w:eastAsia="仿宋" w:cs="Times New Roman"/>
          <w:color w:val="auto"/>
          <w:sz w:val="24"/>
          <w:highlight w:val="none"/>
          <w:lang w:bidi="en-US"/>
        </w:rPr>
      </w:pPr>
      <w:r>
        <w:rPr>
          <w:rFonts w:hint="eastAsia" w:ascii="仿宋" w:hAnsi="仿宋" w:eastAsia="仿宋" w:cs="Times New Roman"/>
          <w:color w:val="auto"/>
          <w:sz w:val="24"/>
          <w:highlight w:val="none"/>
          <w:lang w:val="en-US" w:eastAsia="zh-CN" w:bidi="en-US"/>
        </w:rPr>
        <w:t>1、</w:t>
      </w:r>
      <w:r>
        <w:rPr>
          <w:rFonts w:hint="eastAsia" w:ascii="仿宋" w:hAnsi="仿宋" w:eastAsia="仿宋" w:cs="Times New Roman"/>
          <w:color w:val="auto"/>
          <w:sz w:val="24"/>
          <w:highlight w:val="none"/>
          <w:lang w:bidi="en-US"/>
        </w:rPr>
        <w:t>提供合同等业绩证明，与第十四条同类业绩一览表对应。</w:t>
      </w:r>
    </w:p>
    <w:p>
      <w:pPr>
        <w:shd w:val="clear" w:color="auto" w:fill="auto"/>
        <w:tabs>
          <w:tab w:val="right" w:leader="dot" w:pos="9471"/>
        </w:tabs>
        <w:adjustRightInd w:val="0"/>
        <w:snapToGrid w:val="0"/>
        <w:spacing w:line="360" w:lineRule="auto"/>
        <w:ind w:firstLine="480" w:firstLineChars="200"/>
        <w:rPr>
          <w:rFonts w:hint="eastAsia" w:ascii="仿宋" w:hAnsi="仿宋" w:eastAsia="仿宋" w:cs="Times New Roman"/>
          <w:color w:val="auto"/>
          <w:sz w:val="24"/>
          <w:highlight w:val="none"/>
          <w:lang w:bidi="en-US"/>
        </w:rPr>
      </w:pPr>
      <w:r>
        <w:rPr>
          <w:rFonts w:hint="eastAsia" w:ascii="仿宋" w:hAnsi="仿宋" w:eastAsia="仿宋" w:cs="Times New Roman"/>
          <w:color w:val="auto"/>
          <w:sz w:val="24"/>
          <w:highlight w:val="none"/>
          <w:lang w:val="en-US" w:eastAsia="zh-CN" w:bidi="en-US"/>
        </w:rPr>
        <w:t>2、</w:t>
      </w:r>
      <w:r>
        <w:rPr>
          <w:rFonts w:hint="eastAsia" w:ascii="仿宋" w:hAnsi="仿宋" w:eastAsia="仿宋" w:cs="Times New Roman"/>
          <w:color w:val="auto"/>
          <w:sz w:val="24"/>
          <w:highlight w:val="none"/>
          <w:lang w:bidi="en-US"/>
        </w:rPr>
        <w:t>提供业绩合同的首页、盖章页及能体现合同服务内容、施工范围、地点、时间及金额等与本项目相关部分复印件，以及项目竣工验收证明或发票复印件、并加盖公司公章。</w:t>
      </w:r>
    </w:p>
    <w:p>
      <w:pPr>
        <w:shd w:val="clear" w:color="auto" w:fill="auto"/>
        <w:tabs>
          <w:tab w:val="right" w:leader="dot" w:pos="9471"/>
        </w:tabs>
        <w:adjustRightInd w:val="0"/>
        <w:snapToGrid w:val="0"/>
        <w:spacing w:line="360" w:lineRule="auto"/>
        <w:ind w:firstLine="480" w:firstLineChars="200"/>
        <w:rPr>
          <w:rFonts w:hint="eastAsia" w:ascii="仿宋" w:hAnsi="仿宋" w:eastAsia="仿宋" w:cs="Times New Roman"/>
          <w:color w:val="auto"/>
          <w:sz w:val="24"/>
          <w:highlight w:val="none"/>
          <w:lang w:val="en-US" w:eastAsia="zh-CN" w:bidi="en-US"/>
        </w:rPr>
      </w:pPr>
      <w:r>
        <w:rPr>
          <w:rFonts w:hint="eastAsia" w:ascii="仿宋" w:hAnsi="仿宋" w:eastAsia="仿宋" w:cs="Times New Roman"/>
          <w:color w:val="auto"/>
          <w:sz w:val="24"/>
          <w:highlight w:val="none"/>
          <w:lang w:val="en-US" w:eastAsia="zh-CN" w:bidi="en-US"/>
        </w:rPr>
        <w:t>3、业绩考察：招标人会随机对投标人提供的其中1例业绩进行考察，对考察不合格的投标人将被拒绝。</w:t>
      </w:r>
    </w:p>
    <w:p>
      <w:pPr>
        <w:shd w:val="clear" w:color="auto" w:fill="auto"/>
        <w:adjustRightInd w:val="0"/>
        <w:snapToGrid w:val="0"/>
        <w:spacing w:line="390" w:lineRule="exact"/>
        <w:ind w:firstLine="560"/>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业绩考察</w:t>
      </w:r>
      <w:r>
        <w:rPr>
          <w:rFonts w:hint="eastAsia" w:ascii="宋体" w:hAnsi="宋体" w:cs="宋体"/>
          <w:color w:val="auto"/>
          <w:sz w:val="28"/>
          <w:szCs w:val="28"/>
          <w:highlight w:val="none"/>
        </w:rPr>
        <w:t>评分标准表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557"/>
        <w:gridCol w:w="567"/>
        <w:gridCol w:w="2042"/>
        <w:gridCol w:w="591"/>
        <w:gridCol w:w="920"/>
        <w:gridCol w:w="1042"/>
        <w:gridCol w:w="1144"/>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1" w:hRule="atLeast"/>
          <w:tblHeader/>
        </w:trPr>
        <w:tc>
          <w:tcPr>
            <w:tcW w:w="283"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ascii="宋体" w:hAnsi="宋体" w:cs="宋体"/>
                <w:color w:val="auto"/>
                <w:sz w:val="15"/>
                <w:szCs w:val="15"/>
                <w:highlight w:val="none"/>
              </w:rPr>
            </w:pPr>
            <w:r>
              <w:rPr>
                <w:rFonts w:hint="eastAsia" w:ascii="宋体" w:hAnsi="宋体" w:cs="宋体"/>
                <w:color w:val="auto"/>
                <w:sz w:val="15"/>
                <w:szCs w:val="15"/>
                <w:highlight w:val="none"/>
              </w:rPr>
              <w:t>序号</w:t>
            </w:r>
          </w:p>
        </w:tc>
        <w:tc>
          <w:tcPr>
            <w:tcW w:w="1859" w:type="pct"/>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评审因素</w:t>
            </w:r>
          </w:p>
        </w:tc>
        <w:tc>
          <w:tcPr>
            <w:tcW w:w="347"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ascii="宋体" w:hAnsi="宋体" w:cs="宋体"/>
                <w:color w:val="auto"/>
                <w:sz w:val="15"/>
                <w:szCs w:val="15"/>
                <w:highlight w:val="none"/>
              </w:rPr>
            </w:pPr>
            <w:r>
              <w:rPr>
                <w:rFonts w:hint="eastAsia" w:ascii="宋体" w:hAnsi="宋体" w:cs="宋体"/>
                <w:color w:val="auto"/>
                <w:sz w:val="15"/>
                <w:szCs w:val="15"/>
                <w:highlight w:val="none"/>
              </w:rPr>
              <w:t>分值</w:t>
            </w:r>
          </w:p>
        </w:tc>
        <w:tc>
          <w:tcPr>
            <w:tcW w:w="2509" w:type="pct"/>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83" w:type="pct"/>
            <w:vMerge w:val="restar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w:t>
            </w:r>
          </w:p>
        </w:tc>
        <w:tc>
          <w:tcPr>
            <w:tcW w:w="327" w:type="pct"/>
            <w:vMerge w:val="restart"/>
            <w:tcBorders>
              <w:top w:val="single" w:color="auto" w:sz="4" w:space="0"/>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工艺情况</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相似度</w:t>
            </w:r>
          </w:p>
        </w:tc>
        <w:tc>
          <w:tcPr>
            <w:tcW w:w="1199"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left"/>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从是否</w:t>
            </w:r>
            <w:r>
              <w:rPr>
                <w:rFonts w:hint="eastAsia" w:ascii="宋体" w:hAnsi="宋体" w:cs="宋体"/>
                <w:color w:val="auto"/>
                <w:sz w:val="15"/>
                <w:szCs w:val="15"/>
                <w:highlight w:val="none"/>
              </w:rPr>
              <w:t>具有厌氧处理工艺、A</w:t>
            </w:r>
            <w:r>
              <w:rPr>
                <w:rFonts w:ascii="宋体" w:hAnsi="宋体" w:cs="宋体"/>
                <w:color w:val="auto"/>
                <w:sz w:val="15"/>
                <w:szCs w:val="15"/>
                <w:highlight w:val="none"/>
              </w:rPr>
              <w:t>/O</w:t>
            </w:r>
            <w:r>
              <w:rPr>
                <w:rFonts w:hint="eastAsia" w:ascii="宋体" w:hAnsi="宋体" w:cs="宋体"/>
                <w:color w:val="auto"/>
                <w:sz w:val="15"/>
                <w:szCs w:val="15"/>
                <w:highlight w:val="none"/>
              </w:rPr>
              <w:t>工艺、臭氧氧化工艺、深度处理工艺</w:t>
            </w:r>
            <w:r>
              <w:rPr>
                <w:rFonts w:hint="eastAsia" w:ascii="宋体" w:hAnsi="宋体" w:cs="宋体"/>
                <w:color w:val="auto"/>
                <w:sz w:val="15"/>
                <w:szCs w:val="15"/>
                <w:highlight w:val="none"/>
                <w:lang w:val="en-US" w:eastAsia="zh-CN"/>
              </w:rPr>
              <w:t>等方面进行综合评定</w:t>
            </w:r>
          </w:p>
        </w:tc>
        <w:tc>
          <w:tcPr>
            <w:tcW w:w="347"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15</w:t>
            </w:r>
          </w:p>
        </w:tc>
        <w:tc>
          <w:tcPr>
            <w:tcW w:w="540"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分＜优≤</w:t>
            </w:r>
            <w:r>
              <w:rPr>
                <w:rFonts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c>
          <w:tcPr>
            <w:tcW w:w="61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w:t>
            </w:r>
          </w:p>
        </w:tc>
        <w:tc>
          <w:tcPr>
            <w:tcW w:w="67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w:t>
            </w:r>
          </w:p>
        </w:tc>
        <w:tc>
          <w:tcPr>
            <w:tcW w:w="684"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kern w:val="0"/>
                <w:sz w:val="15"/>
                <w:szCs w:val="15"/>
                <w:highlight w:val="none"/>
                <w:lang w:val="en-US" w:eastAsia="zh-CN" w:bidi="ar"/>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83"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color w:val="auto"/>
                <w:highlight w:val="none"/>
              </w:rPr>
            </w:pPr>
          </w:p>
        </w:tc>
        <w:tc>
          <w:tcPr>
            <w:tcW w:w="327"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color w:val="auto"/>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合理性</w:t>
            </w:r>
          </w:p>
        </w:tc>
        <w:tc>
          <w:tcPr>
            <w:tcW w:w="1199"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从工艺的布局、处理流程、参数选择等方面进行综合评定</w:t>
            </w:r>
          </w:p>
        </w:tc>
        <w:tc>
          <w:tcPr>
            <w:tcW w:w="347"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10</w:t>
            </w:r>
          </w:p>
        </w:tc>
        <w:tc>
          <w:tcPr>
            <w:tcW w:w="540"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分＜优≤</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分</w:t>
            </w:r>
          </w:p>
        </w:tc>
        <w:tc>
          <w:tcPr>
            <w:tcW w:w="61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w:t>
            </w:r>
          </w:p>
        </w:tc>
        <w:tc>
          <w:tcPr>
            <w:tcW w:w="67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w:t>
            </w:r>
          </w:p>
        </w:tc>
        <w:tc>
          <w:tcPr>
            <w:tcW w:w="684"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83"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p>
        </w:tc>
        <w:tc>
          <w:tcPr>
            <w:tcW w:w="327" w:type="pct"/>
            <w:vMerge w:val="continue"/>
            <w:tcBorders>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先进性</w:t>
            </w:r>
          </w:p>
        </w:tc>
        <w:tc>
          <w:tcPr>
            <w:tcW w:w="1199" w:type="pct"/>
            <w:tcBorders>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从工艺的前瞻性、经济性、资源综合利用情况、设备选型的先进性、污染物去除效率、维护操作便捷性、自动化程度等方面进行综合评定</w:t>
            </w:r>
          </w:p>
        </w:tc>
        <w:tc>
          <w:tcPr>
            <w:tcW w:w="347" w:type="pct"/>
            <w:tcBorders>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10</w:t>
            </w:r>
          </w:p>
        </w:tc>
        <w:tc>
          <w:tcPr>
            <w:tcW w:w="540" w:type="pct"/>
            <w:tcBorders>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分＜优≤</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分</w:t>
            </w:r>
          </w:p>
        </w:tc>
        <w:tc>
          <w:tcPr>
            <w:tcW w:w="612" w:type="pct"/>
            <w:tcBorders>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w:t>
            </w:r>
          </w:p>
        </w:tc>
        <w:tc>
          <w:tcPr>
            <w:tcW w:w="672" w:type="pct"/>
            <w:tcBorders>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w:t>
            </w:r>
          </w:p>
        </w:tc>
        <w:tc>
          <w:tcPr>
            <w:tcW w:w="684" w:type="pct"/>
            <w:tcBorders>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0"/>
                <w:sz w:val="15"/>
                <w:szCs w:val="15"/>
                <w:highlight w:val="none"/>
                <w:lang w:val="en-US" w:eastAsia="zh-CN" w:bidi="ar"/>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283" w:type="pct"/>
            <w:vMerge w:val="restar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2</w:t>
            </w:r>
          </w:p>
        </w:tc>
        <w:tc>
          <w:tcPr>
            <w:tcW w:w="327" w:type="pct"/>
            <w:vMerge w:val="restart"/>
            <w:tcBorders>
              <w:top w:val="single" w:color="auto" w:sz="4" w:space="0"/>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施工情况</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质量</w:t>
            </w:r>
          </w:p>
        </w:tc>
        <w:tc>
          <w:tcPr>
            <w:tcW w:w="1199"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从设备安装的规范性、可靠性、安装精度、布局美观程度等方面进行综合评定</w:t>
            </w:r>
          </w:p>
        </w:tc>
        <w:tc>
          <w:tcPr>
            <w:tcW w:w="347"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20</w:t>
            </w:r>
          </w:p>
        </w:tc>
        <w:tc>
          <w:tcPr>
            <w:tcW w:w="540"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16</w:t>
            </w:r>
            <w:r>
              <w:rPr>
                <w:rFonts w:hint="eastAsia" w:ascii="宋体" w:hAnsi="宋体" w:cs="宋体"/>
                <w:color w:val="auto"/>
                <w:sz w:val="15"/>
                <w:szCs w:val="15"/>
                <w:highlight w:val="none"/>
              </w:rPr>
              <w:t>分＜优≤</w:t>
            </w:r>
            <w:r>
              <w:rPr>
                <w:rFonts w:hint="eastAsia" w:ascii="宋体" w:hAnsi="宋体" w:cs="宋体"/>
                <w:color w:val="auto"/>
                <w:sz w:val="15"/>
                <w:szCs w:val="15"/>
                <w:highlight w:val="none"/>
                <w:lang w:val="en-US" w:eastAsia="zh-CN"/>
              </w:rPr>
              <w:t>20</w:t>
            </w:r>
            <w:r>
              <w:rPr>
                <w:rFonts w:hint="eastAsia" w:ascii="宋体" w:hAnsi="宋体" w:cs="宋体"/>
                <w:color w:val="auto"/>
                <w:sz w:val="15"/>
                <w:szCs w:val="15"/>
                <w:highlight w:val="none"/>
              </w:rPr>
              <w:t>分</w:t>
            </w:r>
          </w:p>
        </w:tc>
        <w:tc>
          <w:tcPr>
            <w:tcW w:w="61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16</w:t>
            </w:r>
            <w:r>
              <w:rPr>
                <w:rFonts w:hint="eastAsia" w:ascii="宋体" w:hAnsi="宋体" w:cs="宋体"/>
                <w:color w:val="auto"/>
                <w:sz w:val="15"/>
                <w:szCs w:val="15"/>
                <w:highlight w:val="none"/>
              </w:rPr>
              <w:t>分</w:t>
            </w:r>
          </w:p>
        </w:tc>
        <w:tc>
          <w:tcPr>
            <w:tcW w:w="67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w:t>
            </w:r>
          </w:p>
        </w:tc>
        <w:tc>
          <w:tcPr>
            <w:tcW w:w="684"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283"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p>
        </w:tc>
        <w:tc>
          <w:tcPr>
            <w:tcW w:w="327"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安全</w:t>
            </w:r>
          </w:p>
        </w:tc>
        <w:tc>
          <w:tcPr>
            <w:tcW w:w="1199"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从设备的安全保护装置、人身安全防措施等方面进行综合评定</w:t>
            </w:r>
          </w:p>
        </w:tc>
        <w:tc>
          <w:tcPr>
            <w:tcW w:w="347"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5</w:t>
            </w:r>
          </w:p>
        </w:tc>
        <w:tc>
          <w:tcPr>
            <w:tcW w:w="540"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分＜优≤</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c>
          <w:tcPr>
            <w:tcW w:w="61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分</w:t>
            </w:r>
          </w:p>
        </w:tc>
        <w:tc>
          <w:tcPr>
            <w:tcW w:w="67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w:t>
            </w:r>
          </w:p>
        </w:tc>
        <w:tc>
          <w:tcPr>
            <w:tcW w:w="684"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283" w:type="pct"/>
            <w:vMerge w:val="restar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3</w:t>
            </w:r>
          </w:p>
        </w:tc>
        <w:tc>
          <w:tcPr>
            <w:tcW w:w="327" w:type="pct"/>
            <w:vMerge w:val="restart"/>
            <w:tcBorders>
              <w:top w:val="single" w:color="auto" w:sz="4" w:space="0"/>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运行情况</w:t>
            </w: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运行稳定性</w:t>
            </w:r>
          </w:p>
        </w:tc>
        <w:tc>
          <w:tcPr>
            <w:tcW w:w="1199"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抗负荷冲击能力、设备故障率、出水稳定达标率等方面进行综合评定</w:t>
            </w:r>
          </w:p>
        </w:tc>
        <w:tc>
          <w:tcPr>
            <w:tcW w:w="347"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15</w:t>
            </w:r>
          </w:p>
        </w:tc>
        <w:tc>
          <w:tcPr>
            <w:tcW w:w="540"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分＜优≤</w:t>
            </w:r>
            <w:r>
              <w:rPr>
                <w:rFonts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c>
          <w:tcPr>
            <w:tcW w:w="61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w:t>
            </w:r>
          </w:p>
        </w:tc>
        <w:tc>
          <w:tcPr>
            <w:tcW w:w="672"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w:t>
            </w:r>
          </w:p>
        </w:tc>
        <w:tc>
          <w:tcPr>
            <w:tcW w:w="684" w:type="pct"/>
            <w:tcBorders>
              <w:top w:val="single" w:color="auto" w:sz="4" w:space="0"/>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283"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color w:val="auto"/>
                <w:highlight w:val="none"/>
              </w:rPr>
            </w:pPr>
          </w:p>
        </w:tc>
        <w:tc>
          <w:tcPr>
            <w:tcW w:w="327" w:type="pct"/>
            <w:vMerge w:val="continue"/>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color w:val="auto"/>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二次污染防治</w:t>
            </w:r>
          </w:p>
        </w:tc>
        <w:tc>
          <w:tcPr>
            <w:tcW w:w="1199"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臭气收集处理情况、污泥处置和存储情况、噪声防治措施、药剂投加防污染措施等方面进行综合评定</w:t>
            </w:r>
          </w:p>
        </w:tc>
        <w:tc>
          <w:tcPr>
            <w:tcW w:w="347"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15</w:t>
            </w:r>
          </w:p>
        </w:tc>
        <w:tc>
          <w:tcPr>
            <w:tcW w:w="540"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分＜优≤</w:t>
            </w:r>
            <w:r>
              <w:rPr>
                <w:rFonts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c>
          <w:tcPr>
            <w:tcW w:w="61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12</w:t>
            </w:r>
            <w:r>
              <w:rPr>
                <w:rFonts w:hint="eastAsia" w:ascii="宋体" w:hAnsi="宋体" w:cs="宋体"/>
                <w:color w:val="auto"/>
                <w:sz w:val="15"/>
                <w:szCs w:val="15"/>
                <w:highlight w:val="none"/>
              </w:rPr>
              <w:t>分</w:t>
            </w:r>
          </w:p>
        </w:tc>
        <w:tc>
          <w:tcPr>
            <w:tcW w:w="672"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9</w:t>
            </w:r>
            <w:r>
              <w:rPr>
                <w:rFonts w:hint="eastAsia" w:ascii="宋体" w:hAnsi="宋体" w:cs="宋体"/>
                <w:color w:val="auto"/>
                <w:sz w:val="15"/>
                <w:szCs w:val="15"/>
                <w:highlight w:val="none"/>
              </w:rPr>
              <w:t>分</w:t>
            </w:r>
          </w:p>
        </w:tc>
        <w:tc>
          <w:tcPr>
            <w:tcW w:w="684" w:type="pct"/>
            <w:tcBorders>
              <w:left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cs="宋体"/>
                <w:color w:val="auto"/>
                <w:sz w:val="15"/>
                <w:szCs w:val="15"/>
                <w:highlight w:val="none"/>
                <w:lang w:val="en-US" w:eastAsia="zh-CN"/>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83" w:type="pct"/>
            <w:tcBorders>
              <w:left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4</w:t>
            </w:r>
          </w:p>
        </w:tc>
        <w:tc>
          <w:tcPr>
            <w:tcW w:w="660" w:type="pct"/>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240" w:lineRule="auto"/>
              <w:ind w:left="0" w:leftChars="0" w:firstLine="0" w:firstLineChars="0"/>
              <w:jc w:val="center"/>
              <w:rPr>
                <w:rFonts w:hint="eastAsia" w:ascii="宋体" w:hAnsi="宋体" w:eastAsia="宋体" w:cs="宋体"/>
                <w:color w:val="auto"/>
                <w:kern w:val="2"/>
                <w:sz w:val="15"/>
                <w:szCs w:val="15"/>
                <w:highlight w:val="none"/>
                <w:lang w:val="en-US" w:eastAsia="zh-CN" w:bidi="ar-SA"/>
              </w:rPr>
            </w:pPr>
            <w:r>
              <w:rPr>
                <w:rFonts w:hint="eastAsia" w:ascii="宋体" w:hAnsi="宋体" w:cs="宋体"/>
                <w:color w:val="auto"/>
                <w:sz w:val="15"/>
                <w:szCs w:val="15"/>
                <w:highlight w:val="none"/>
                <w:lang w:val="en-US" w:eastAsia="zh-CN"/>
              </w:rPr>
              <w:t>业主反馈</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left"/>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从施工期间的现场管理、进度情况、配合度、售后服务等方面进行综合评定</w:t>
            </w:r>
          </w:p>
        </w:tc>
        <w:tc>
          <w:tcPr>
            <w:tcW w:w="347"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default" w:ascii="宋体" w:hAnsi="宋体" w:eastAsia="宋体" w:cs="宋体"/>
                <w:color w:val="auto"/>
                <w:kern w:val="2"/>
                <w:sz w:val="15"/>
                <w:szCs w:val="15"/>
                <w:highlight w:val="none"/>
                <w:lang w:val="en-US" w:eastAsia="zh-CN" w:bidi="ar-SA"/>
              </w:rPr>
            </w:pPr>
            <w:r>
              <w:rPr>
                <w:rFonts w:hint="eastAsia" w:ascii="宋体" w:hAnsi="宋体" w:cs="宋体"/>
                <w:color w:val="auto"/>
                <w:kern w:val="2"/>
                <w:sz w:val="15"/>
                <w:szCs w:val="15"/>
                <w:highlight w:val="none"/>
                <w:lang w:val="en-US" w:eastAsia="zh-CN" w:bidi="ar-SA"/>
              </w:rPr>
              <w:t>10</w:t>
            </w:r>
          </w:p>
        </w:tc>
        <w:tc>
          <w:tcPr>
            <w:tcW w:w="540"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2"/>
                <w:sz w:val="15"/>
                <w:szCs w:val="15"/>
                <w:highlight w:val="none"/>
                <w:lang w:val="en-US" w:eastAsia="zh-CN" w:bidi="ar-SA"/>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分＜优≤</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分</w:t>
            </w:r>
          </w:p>
        </w:tc>
        <w:tc>
          <w:tcPr>
            <w:tcW w:w="612"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2"/>
                <w:sz w:val="15"/>
                <w:szCs w:val="15"/>
                <w:highlight w:val="none"/>
                <w:lang w:val="en-US" w:eastAsia="zh-CN" w:bidi="ar-SA"/>
              </w:rPr>
            </w:pP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分＜良≤</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分</w:t>
            </w:r>
          </w:p>
        </w:tc>
        <w:tc>
          <w:tcPr>
            <w:tcW w:w="672"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2"/>
                <w:sz w:val="15"/>
                <w:szCs w:val="15"/>
                <w:highlight w:val="none"/>
                <w:lang w:val="en-US" w:eastAsia="zh-CN" w:bidi="ar-SA"/>
              </w:rPr>
            </w:pP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分＜中≤</w:t>
            </w:r>
            <w:r>
              <w:rPr>
                <w:rFonts w:hint="eastAsia" w:ascii="宋体" w:hAnsi="宋体" w:cs="宋体"/>
                <w:color w:val="auto"/>
                <w:sz w:val="15"/>
                <w:szCs w:val="15"/>
                <w:highlight w:val="none"/>
                <w:lang w:val="en-US" w:eastAsia="zh-CN"/>
              </w:rPr>
              <w:t>6</w:t>
            </w:r>
            <w:r>
              <w:rPr>
                <w:rFonts w:hint="eastAsia" w:ascii="宋体" w:hAnsi="宋体" w:cs="宋体"/>
                <w:color w:val="auto"/>
                <w:sz w:val="15"/>
                <w:szCs w:val="15"/>
                <w:highlight w:val="none"/>
              </w:rPr>
              <w:t>分</w:t>
            </w:r>
          </w:p>
        </w:tc>
        <w:tc>
          <w:tcPr>
            <w:tcW w:w="684" w:type="pc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left="0" w:leftChars="0" w:firstLine="0" w:firstLineChars="0"/>
              <w:jc w:val="center"/>
              <w:rPr>
                <w:rFonts w:hint="eastAsia" w:ascii="宋体" w:hAnsi="宋体" w:eastAsia="宋体" w:cs="宋体"/>
                <w:color w:val="auto"/>
                <w:kern w:val="2"/>
                <w:sz w:val="15"/>
                <w:szCs w:val="15"/>
                <w:highlight w:val="none"/>
                <w:lang w:val="en-US" w:eastAsia="zh-CN" w:bidi="ar-SA"/>
              </w:rPr>
            </w:pPr>
            <w:r>
              <w:rPr>
                <w:rFonts w:ascii="宋体" w:hAnsi="宋体" w:cs="宋体"/>
                <w:color w:val="auto"/>
                <w:sz w:val="15"/>
                <w:szCs w:val="15"/>
                <w:highlight w:val="none"/>
              </w:rPr>
              <w:t>0</w:t>
            </w:r>
            <w:r>
              <w:rPr>
                <w:rFonts w:hint="eastAsia" w:ascii="宋体" w:hAnsi="宋体" w:cs="宋体"/>
                <w:color w:val="auto"/>
                <w:sz w:val="15"/>
                <w:szCs w:val="15"/>
                <w:highlight w:val="none"/>
              </w:rPr>
              <w:t>分＜差≤</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5000" w:type="pct"/>
            <w:gridSpan w:val="9"/>
            <w:tcBorders>
              <w:left w:val="single" w:color="auto" w:sz="4" w:space="0"/>
              <w:right w:val="single" w:color="auto" w:sz="4" w:space="0"/>
            </w:tcBorders>
            <w:noWrap w:val="0"/>
            <w:vAlign w:val="center"/>
          </w:tcPr>
          <w:p>
            <w:pPr>
              <w:widowControl/>
              <w:numPr>
                <w:ilvl w:val="0"/>
                <w:numId w:val="0"/>
              </w:numPr>
              <w:shd w:val="clear" w:color="auto" w:fill="auto"/>
              <w:ind w:left="0" w:leftChars="0" w:firstLine="0" w:firstLineChars="0"/>
              <w:jc w:val="both"/>
              <w:textAlignment w:val="center"/>
              <w:rPr>
                <w:color w:val="auto"/>
                <w:highlight w:val="none"/>
              </w:rPr>
            </w:pPr>
            <w:r>
              <w:rPr>
                <w:rFonts w:hint="eastAsia"/>
                <w:color w:val="auto"/>
                <w:highlight w:val="none"/>
                <w:lang w:val="en-US" w:eastAsia="zh-CN"/>
              </w:rPr>
              <w:t>备注：</w:t>
            </w:r>
            <w:r>
              <w:rPr>
                <w:rFonts w:hint="eastAsia"/>
                <w:color w:val="auto"/>
                <w:highlight w:val="none"/>
              </w:rPr>
              <w:t>按</w:t>
            </w:r>
            <w:r>
              <w:rPr>
                <w:rFonts w:hint="eastAsia" w:ascii="Times New Roman" w:hAnsi="Times New Roman" w:eastAsia="宋体" w:cs="Times New Roman"/>
                <w:color w:val="auto"/>
                <w:highlight w:val="none"/>
              </w:rPr>
              <w:t>此表</w:t>
            </w:r>
            <w:r>
              <w:rPr>
                <w:rFonts w:hint="eastAsia" w:ascii="Times New Roman" w:hAnsi="Times New Roman" w:eastAsia="宋体" w:cs="Times New Roman"/>
                <w:color w:val="auto"/>
                <w:highlight w:val="none"/>
                <w:lang w:val="en-US" w:eastAsia="zh-CN"/>
              </w:rPr>
              <w:t>满</w:t>
            </w:r>
            <w:r>
              <w:rPr>
                <w:rFonts w:hint="eastAsia" w:ascii="Times New Roman" w:hAnsi="Times New Roman" w:eastAsia="宋体" w:cs="Times New Roman"/>
                <w:color w:val="auto"/>
                <w:highlight w:val="none"/>
              </w:rPr>
              <w:t>分100分评分时，评审得分≥</w:t>
            </w:r>
            <w:r>
              <w:rPr>
                <w:rFonts w:hint="eastAsia" w:ascii="Times New Roman" w:hAnsi="Times New Roman" w:eastAsia="宋体" w:cs="Times New Roman"/>
                <w:color w:val="auto"/>
                <w:highlight w:val="none"/>
                <w:lang w:val="en-US" w:eastAsia="zh-CN"/>
              </w:rPr>
              <w:t>70</w:t>
            </w:r>
            <w:r>
              <w:rPr>
                <w:rFonts w:hint="eastAsia" w:ascii="Times New Roman" w:hAnsi="Times New Roman" w:eastAsia="宋体" w:cs="Times New Roman"/>
                <w:color w:val="auto"/>
                <w:highlight w:val="none"/>
              </w:rPr>
              <w:t>时，判定为</w:t>
            </w:r>
            <w:r>
              <w:rPr>
                <w:rFonts w:hint="eastAsia" w:ascii="Times New Roman" w:hAnsi="Times New Roman" w:eastAsia="宋体" w:cs="Times New Roman"/>
                <w:color w:val="auto"/>
                <w:highlight w:val="none"/>
                <w:lang w:val="en-US" w:eastAsia="zh-CN"/>
              </w:rPr>
              <w:t>考察合格</w:t>
            </w:r>
            <w:r>
              <w:rPr>
                <w:rFonts w:hint="eastAsia" w:ascii="Times New Roman" w:hAnsi="Times New Roman" w:eastAsia="宋体" w:cs="Times New Roman"/>
                <w:color w:val="auto"/>
                <w:highlight w:val="none"/>
              </w:rPr>
              <w:t>；评审得分＜</w:t>
            </w:r>
            <w:r>
              <w:rPr>
                <w:rFonts w:hint="eastAsia" w:ascii="Times New Roman" w:hAnsi="Times New Roman" w:eastAsia="宋体" w:cs="Times New Roman"/>
                <w:color w:val="auto"/>
                <w:highlight w:val="none"/>
                <w:lang w:val="en-US" w:eastAsia="zh-CN"/>
              </w:rPr>
              <w:t>70</w:t>
            </w:r>
            <w:r>
              <w:rPr>
                <w:rFonts w:hint="eastAsia" w:ascii="Times New Roman" w:hAnsi="Times New Roman" w:eastAsia="宋体" w:cs="Times New Roman"/>
                <w:color w:val="auto"/>
                <w:highlight w:val="none"/>
              </w:rPr>
              <w:t>分时，判定为</w:t>
            </w:r>
            <w:r>
              <w:rPr>
                <w:rFonts w:hint="eastAsia" w:ascii="Times New Roman" w:hAnsi="Times New Roman" w:eastAsia="宋体" w:cs="Times New Roman"/>
                <w:color w:val="auto"/>
                <w:highlight w:val="none"/>
                <w:lang w:val="en-US" w:eastAsia="zh-CN"/>
              </w:rPr>
              <w:t>考察不合格</w:t>
            </w:r>
            <w:r>
              <w:rPr>
                <w:rFonts w:hint="eastAsia" w:ascii="Times New Roman" w:hAnsi="Times New Roman" w:eastAsia="宋体" w:cs="Times New Roman"/>
                <w:color w:val="auto"/>
                <w:highlight w:val="none"/>
              </w:rPr>
              <w:t>。</w:t>
            </w:r>
          </w:p>
        </w:tc>
      </w:tr>
    </w:tbl>
    <w:p>
      <w:pPr>
        <w:shd w:val="clear" w:color="auto" w:fill="auto"/>
        <w:tabs>
          <w:tab w:val="right" w:leader="dot" w:pos="9471"/>
        </w:tabs>
        <w:adjustRightInd w:val="0"/>
        <w:snapToGrid w:val="0"/>
        <w:spacing w:line="360" w:lineRule="auto"/>
        <w:ind w:firstLine="482" w:firstLineChars="200"/>
        <w:rPr>
          <w:rFonts w:hint="eastAsia" w:ascii="仿宋" w:hAnsi="仿宋" w:eastAsia="仿宋" w:cs="Times New Roman"/>
          <w:b/>
          <w:bCs/>
          <w:color w:val="auto"/>
          <w:sz w:val="24"/>
          <w:highlight w:val="none"/>
          <w:lang w:val="en-US" w:eastAsia="zh-CN" w:bidi="en-US"/>
        </w:rPr>
      </w:pPr>
      <w:r>
        <w:rPr>
          <w:rFonts w:hint="eastAsia" w:ascii="仿宋" w:hAnsi="仿宋" w:eastAsia="仿宋" w:cs="Times New Roman"/>
          <w:b/>
          <w:bCs/>
          <w:color w:val="auto"/>
          <w:sz w:val="24"/>
          <w:highlight w:val="none"/>
          <w:lang w:val="en-US" w:eastAsia="zh-CN" w:bidi="en-US"/>
        </w:rPr>
        <w:br w:type="page"/>
      </w:r>
    </w:p>
    <w:p>
      <w:pPr>
        <w:pStyle w:val="4"/>
        <w:numPr>
          <w:ilvl w:val="0"/>
          <w:numId w:val="2"/>
        </w:numPr>
        <w:shd w:val="clear" w:color="auto" w:fill="auto"/>
        <w:rPr>
          <w:color w:val="auto"/>
          <w:highlight w:val="none"/>
        </w:rPr>
      </w:pPr>
      <w:bookmarkStart w:id="18" w:name="_Toc15769"/>
      <w:r>
        <w:rPr>
          <w:rFonts w:hint="eastAsia"/>
          <w:color w:val="auto"/>
          <w:highlight w:val="none"/>
        </w:rPr>
        <w:t>供应商调查问卷</w:t>
      </w:r>
      <w:bookmarkEnd w:id="18"/>
    </w:p>
    <w:p>
      <w:pPr>
        <w:shd w:val="clear" w:color="auto" w:fill="auto"/>
        <w:spacing w:line="540" w:lineRule="exact"/>
        <w:jc w:val="center"/>
        <w:rPr>
          <w:rFonts w:ascii="宋体" w:hAnsi="宋体" w:cs="宋体"/>
          <w:b/>
          <w:color w:val="auto"/>
          <w:sz w:val="28"/>
          <w:szCs w:val="28"/>
          <w:highlight w:val="none"/>
        </w:rPr>
      </w:pPr>
      <w:bookmarkStart w:id="19" w:name="OLE_LINK3"/>
      <w:bookmarkStart w:id="20" w:name="OLE_LINK5"/>
      <w:r>
        <w:rPr>
          <w:rFonts w:hint="eastAsia" w:ascii="仿宋" w:hAnsi="仿宋" w:eastAsia="仿宋"/>
          <w:b/>
          <w:color w:val="auto"/>
          <w:sz w:val="28"/>
          <w:szCs w:val="28"/>
          <w:highlight w:val="none"/>
          <w:u w:val="single"/>
        </w:rPr>
        <w:t>供应商调查问卷</w:t>
      </w:r>
    </w:p>
    <w:p>
      <w:pPr>
        <w:shd w:val="clear" w:color="auto" w:fill="auto"/>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登记/填写须知:</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1、此份“供应商调查登记问卷”旨在令</w:t>
      </w:r>
      <w:r>
        <w:rPr>
          <w:rFonts w:hint="eastAsia" w:ascii="仿宋" w:hAnsi="仿宋" w:eastAsia="仿宋" w:cs="仿宋"/>
          <w:b/>
          <w:color w:val="auto"/>
          <w:sz w:val="24"/>
          <w:highlight w:val="none"/>
        </w:rPr>
        <w:t>舍得酒业及其关联单位</w:t>
      </w:r>
      <w:r>
        <w:rPr>
          <w:rFonts w:hint="eastAsia" w:ascii="仿宋" w:hAnsi="仿宋" w:eastAsia="仿宋" w:cs="仿宋"/>
          <w:color w:val="auto"/>
          <w:sz w:val="24"/>
          <w:highlight w:val="none"/>
        </w:rPr>
        <w:t>（以下简称“本公司”）了解贵公司相关情况，以把握贵公司所提供产品或服务的能力。</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2、此份问卷调查是作为评定供应商的工具之一，并不是供应商与本公司之间的协定。</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3、本问卷的完成质量及信息的准确性是问卷评估的重要依据。填写要实事求是，本公司会根据需要进行深入调查或进行现场稽核。</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4、贵公司因为填写和递交本问卷而产生的任何费用或损失，由贵公司自行负担，本公司不承担任何相关责任。</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5、供应商调查问卷填写完成后，请在对应采购负责人规定时间内反馈提交。</w:t>
      </w:r>
    </w:p>
    <w:p>
      <w:pPr>
        <w:shd w:val="clear" w:color="auto" w:fill="auto"/>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6、填写时如空间不够，可自行附页。</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7、贵公司在填写调查登记问卷时，将视为已接受本填写须知的各项要求。</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8、详实和更准确的信息，将有助于本公司增加对贵公司的认识，从而增加双方合作的机会。</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9、本问卷非格式化设定，供应商基本信息细则，可根据不同采购类别的关注重点做相应调整。</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0</w:t>
      </w:r>
      <w:r>
        <w:rPr>
          <w:rFonts w:hint="eastAsia" w:ascii="仿宋" w:hAnsi="仿宋" w:eastAsia="仿宋" w:cs="仿宋"/>
          <w:color w:val="auto"/>
          <w:sz w:val="24"/>
          <w:highlight w:val="none"/>
        </w:rPr>
        <w:t>、标*项为必填项，涉及到的相关证照、资质证明，请提供电子扫描件。</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rPr>
        <w:t>、请将本文件打印后加盖公章，提供给舍得酒业招采中心。</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12</w:t>
      </w:r>
      <w:r>
        <w:rPr>
          <w:rFonts w:hint="eastAsia" w:ascii="仿宋" w:hAnsi="仿宋" w:eastAsia="仿宋" w:cs="仿宋"/>
          <w:color w:val="auto"/>
          <w:sz w:val="24"/>
          <w:highlight w:val="none"/>
        </w:rPr>
        <w:t>、供应商应对其信息的真实有效性负责。</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13</w:t>
      </w:r>
      <w:r>
        <w:rPr>
          <w:rFonts w:hint="eastAsia" w:ascii="仿宋" w:hAnsi="仿宋" w:eastAsia="仿宋" w:cs="仿宋"/>
          <w:color w:val="auto"/>
          <w:sz w:val="24"/>
          <w:highlight w:val="none"/>
        </w:rPr>
        <w:t>、禁止供应商以任何原因向舍得酒业任何人行贿。</w:t>
      </w:r>
    </w:p>
    <w:p>
      <w:pPr>
        <w:shd w:val="clear" w:color="auto" w:fill="auto"/>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14</w:t>
      </w:r>
      <w:r>
        <w:rPr>
          <w:rFonts w:hint="eastAsia" w:ascii="仿宋" w:hAnsi="仿宋" w:eastAsia="仿宋" w:cs="仿宋"/>
          <w:color w:val="auto"/>
          <w:sz w:val="24"/>
          <w:highlight w:val="none"/>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shd w:val="clear" w:color="auto" w:fil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ind w:firstLine="90" w:firstLineChars="5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shd w:val="clear" w:color="auto" w:fill="auto"/>
              <w:tabs>
                <w:tab w:val="left" w:pos="180"/>
              </w:tabs>
              <w:jc w:val="center"/>
              <w:rPr>
                <w:rFonts w:ascii="仿宋" w:hAnsi="仿宋" w:eastAsia="仿宋" w:cs="仿宋"/>
                <w:color w:val="auto"/>
                <w:sz w:val="18"/>
                <w:szCs w:val="18"/>
                <w:highlight w:val="none"/>
              </w:rPr>
            </w:pPr>
          </w:p>
        </w:tc>
        <w:tc>
          <w:tcPr>
            <w:tcW w:w="1422" w:type="dxa"/>
            <w:vMerge w:val="restart"/>
            <w:tcBorders>
              <w:top w:val="single" w:color="auto" w:sz="6" w:space="0"/>
              <w:left w:val="single" w:color="auto" w:sz="4" w:space="0"/>
              <w:right w:val="single" w:color="auto" w:sz="4"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土地/建筑物</w:t>
            </w:r>
          </w:p>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shd w:val="clear" w:color="auto" w:fill="auto"/>
              <w:tabs>
                <w:tab w:val="left" w:pos="180"/>
              </w:tabs>
              <w:jc w:val="center"/>
              <w:rPr>
                <w:rFonts w:ascii="仿宋" w:hAnsi="仿宋" w:eastAsia="仿宋" w:cs="仿宋"/>
                <w:color w:val="auto"/>
                <w:sz w:val="18"/>
                <w:szCs w:val="18"/>
                <w:highlight w:val="none"/>
              </w:rPr>
            </w:pPr>
          </w:p>
        </w:tc>
        <w:tc>
          <w:tcPr>
            <w:tcW w:w="1422" w:type="dxa"/>
            <w:vMerge w:val="continue"/>
            <w:tcBorders>
              <w:left w:val="single" w:color="auto" w:sz="4" w:space="0"/>
              <w:bottom w:val="single" w:color="auto" w:sz="6" w:space="0"/>
              <w:right w:val="single" w:color="auto" w:sz="4"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color w:val="auto"/>
                <w:sz w:val="18"/>
                <w:szCs w:val="18"/>
                <w:highlight w:val="none"/>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auto"/>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一般纳税人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小规模纳税人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c>
          <w:tcPr>
            <w:tcW w:w="1273" w:type="dxa"/>
            <w:gridSpan w:val="2"/>
            <w:tcBorders>
              <w:top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c>
          <w:tcPr>
            <w:tcW w:w="1273" w:type="dxa"/>
            <w:gridSpan w:val="2"/>
            <w:tcBorders>
              <w:top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注册资本*</w:t>
            </w:r>
          </w:p>
        </w:tc>
        <w:tc>
          <w:tcPr>
            <w:tcW w:w="1703" w:type="dxa"/>
            <w:tcBorders>
              <w:top w:val="single" w:color="auto" w:sz="6" w:space="0"/>
              <w:left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right w:val="single" w:color="auto" w:sz="6" w:space="0"/>
            </w:tcBorders>
            <w:noWrap w:val="0"/>
            <w:vAlign w:val="center"/>
          </w:tcPr>
          <w:p>
            <w:pPr>
              <w:shd w:val="clear" w:color="auto" w:fill="auto"/>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实缴注册资本*</w:t>
            </w:r>
          </w:p>
        </w:tc>
        <w:tc>
          <w:tcPr>
            <w:tcW w:w="2068" w:type="dxa"/>
            <w:tcBorders>
              <w:top w:val="single" w:color="auto" w:sz="6" w:space="0"/>
              <w:left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c>
          <w:tcPr>
            <w:tcW w:w="1703" w:type="dxa"/>
            <w:tcBorders>
              <w:top w:val="single" w:color="auto" w:sz="6" w:space="0"/>
              <w:left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企业性质*</w:t>
            </w:r>
          </w:p>
        </w:tc>
        <w:tc>
          <w:tcPr>
            <w:tcW w:w="3520" w:type="dxa"/>
            <w:gridSpan w:val="3"/>
            <w:tcBorders>
              <w:top w:val="single" w:color="auto" w:sz="6" w:space="0"/>
              <w:left w:val="single" w:color="auto" w:sz="6" w:space="0"/>
              <w:right w:val="single" w:color="auto" w:sz="6" w:space="0"/>
            </w:tcBorders>
            <w:noWrap w:val="0"/>
            <w:vAlign w:val="center"/>
          </w:tcPr>
          <w:p>
            <w:pPr>
              <w:shd w:val="clear" w:color="auto" w:fill="auto"/>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3"/>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质量</w:t>
            </w:r>
            <w:r>
              <w:rPr>
                <w:rFonts w:ascii="仿宋" w:hAnsi="仿宋" w:eastAsia="仿宋" w:cs="仿宋"/>
                <w:color w:val="auto"/>
                <w:sz w:val="18"/>
                <w:szCs w:val="18"/>
                <w:highlight w:val="none"/>
              </w:rPr>
              <w:t>/</w:t>
            </w:r>
            <w:r>
              <w:rPr>
                <w:rFonts w:hint="eastAsia" w:ascii="仿宋" w:hAnsi="仿宋" w:eastAsia="仿宋" w:cs="仿宋"/>
                <w:color w:val="auto"/>
                <w:sz w:val="18"/>
                <w:szCs w:val="18"/>
                <w:highlight w:val="none"/>
              </w:rPr>
              <w:t>安全/环境等体系认证（请填写证书名称、编号、认证范围及有效期）</w:t>
            </w:r>
          </w:p>
          <w:p>
            <w:pPr>
              <w:pStyle w:val="11"/>
              <w:numPr>
                <w:ilvl w:val="0"/>
                <w:numId w:val="3"/>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行业从业许可/生产许可（请填写证书名称、编号、认证许可范围及有效期）</w:t>
            </w:r>
          </w:p>
          <w:p>
            <w:pPr>
              <w:pStyle w:val="11"/>
              <w:numPr>
                <w:ilvl w:val="0"/>
                <w:numId w:val="3"/>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国家强制产品认证或检验报告（请填写产品名称、认证机构及有效期等）</w:t>
            </w:r>
          </w:p>
          <w:p>
            <w:pPr>
              <w:shd w:val="clear" w:color="auto" w:fill="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4"/>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主要生产设备（品牌/基本参数/数量等）</w:t>
            </w:r>
          </w:p>
          <w:p>
            <w:pPr>
              <w:pStyle w:val="11"/>
              <w:numPr>
                <w:ilvl w:val="0"/>
                <w:numId w:val="4"/>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主要检验检测设备（品牌/基本参数/数量等）</w:t>
            </w:r>
          </w:p>
          <w:p>
            <w:pPr>
              <w:pStyle w:val="11"/>
              <w:numPr>
                <w:ilvl w:val="0"/>
                <w:numId w:val="4"/>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日产能</w:t>
            </w:r>
          </w:p>
          <w:p>
            <w:pPr>
              <w:shd w:val="clear" w:color="auto" w:fill="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人力资源</w:t>
            </w:r>
          </w:p>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1"/>
              <w:numPr>
                <w:ilvl w:val="0"/>
                <w:numId w:val="5"/>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总人数</w:t>
            </w:r>
          </w:p>
          <w:p>
            <w:pPr>
              <w:pStyle w:val="11"/>
              <w:numPr>
                <w:ilvl w:val="0"/>
                <w:numId w:val="5"/>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技术人员数量及占比</w:t>
            </w:r>
          </w:p>
          <w:p>
            <w:pPr>
              <w:pStyle w:val="11"/>
              <w:numPr>
                <w:ilvl w:val="0"/>
                <w:numId w:val="5"/>
              </w:numPr>
              <w:shd w:val="clear" w:color="auto" w:fill="auto"/>
              <w:spacing w:line="36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主要原材料</w:t>
            </w:r>
          </w:p>
          <w:p>
            <w:pPr>
              <w:shd w:val="clear" w:color="auto" w:fill="auto"/>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shd w:val="clear" w:color="auto" w:fill="auto"/>
              <w:rPr>
                <w:rFonts w:ascii="仿宋" w:hAnsi="仿宋" w:eastAsia="仿宋" w:cs="仿宋"/>
                <w:b/>
                <w:color w:val="auto"/>
                <w:sz w:val="18"/>
                <w:szCs w:val="18"/>
                <w:highlight w:val="none"/>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1"/>
              <w:numPr>
                <w:ilvl w:val="0"/>
                <w:numId w:val="5"/>
              </w:numPr>
              <w:shd w:val="clear" w:color="auto" w:fill="auto"/>
              <w:spacing w:line="360" w:lineRule="auto"/>
              <w:rPr>
                <w:rFonts w:ascii="仿宋" w:hAnsi="仿宋" w:eastAsia="仿宋" w:cs="仿宋"/>
                <w:color w:val="auto"/>
                <w:sz w:val="18"/>
                <w:szCs w:val="18"/>
                <w:highlight w:val="none"/>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olor w:val="auto"/>
                <w:sz w:val="18"/>
                <w:szCs w:val="18"/>
                <w:highlight w:val="none"/>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olor w:val="auto"/>
                <w:sz w:val="18"/>
                <w:szCs w:val="18"/>
                <w:highlight w:val="none"/>
              </w:rPr>
            </w:pPr>
            <w:r>
              <w:rPr>
                <w:rFonts w:hint="eastAsia" w:ascii="仿宋" w:hAnsi="仿宋" w:eastAsia="仿宋" w:cs="仿宋"/>
                <w:b/>
                <w:caps/>
                <w:color w:val="auto"/>
                <w:sz w:val="18"/>
                <w:szCs w:val="18"/>
                <w:highlight w:val="none"/>
              </w:rPr>
              <w:t>是否与舍得酒业或关联企业合作过*：</w:t>
            </w:r>
            <w:r>
              <w:rPr>
                <w:rFonts w:hint="eastAsia" w:ascii="仿宋" w:hAnsi="仿宋" w:eastAsia="仿宋" w:cs="仿宋"/>
                <w:b/>
                <w:color w:val="auto"/>
                <w:sz w:val="18"/>
                <w:szCs w:val="18"/>
                <w:highlight w:val="none"/>
              </w:rPr>
              <w:t>是</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olor w:val="auto"/>
                <w:sz w:val="18"/>
                <w:szCs w:val="18"/>
                <w:highlight w:val="none"/>
              </w:rPr>
            </w:pPr>
            <w:r>
              <w:rPr>
                <w:rFonts w:hint="eastAsia" w:ascii="仿宋" w:hAnsi="仿宋" w:eastAsia="仿宋" w:cs="仿宋"/>
                <w:color w:val="auto"/>
                <w:sz w:val="18"/>
                <w:szCs w:val="18"/>
                <w:highlight w:val="none"/>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近三年营业收入及利润情况*</w:t>
            </w:r>
          </w:p>
          <w:p>
            <w:pPr>
              <w:shd w:val="clear" w:color="auto" w:fill="auto"/>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hd w:val="clear" w:color="auto" w:fill="auto"/>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hd w:val="clear" w:color="auto" w:fill="auto"/>
              <w:rPr>
                <w:rFonts w:ascii="仿宋" w:hAnsi="仿宋" w:eastAsia="仿宋" w:cs="仿宋"/>
                <w:color w:val="auto"/>
                <w:sz w:val="18"/>
                <w:szCs w:val="18"/>
                <w:highlight w:val="none"/>
              </w:rPr>
            </w:pPr>
          </w:p>
        </w:tc>
      </w:tr>
    </w:tbl>
    <w:p>
      <w:pPr>
        <w:shd w:val="clear" w:color="auto" w:fill="auto"/>
        <w:spacing w:line="540" w:lineRule="exact"/>
        <w:rPr>
          <w:rFonts w:ascii="仿宋" w:hAnsi="仿宋" w:eastAsia="仿宋" w:cs="仿宋"/>
          <w:b/>
          <w:color w:val="auto"/>
          <w:sz w:val="28"/>
          <w:szCs w:val="28"/>
          <w:highlight w:val="none"/>
        </w:rPr>
      </w:pPr>
    </w:p>
    <w:p>
      <w:pPr>
        <w:shd w:val="clear" w:color="auto" w:fill="auto"/>
        <w:spacing w:line="540" w:lineRule="exact"/>
        <w:rPr>
          <w:rFonts w:ascii="仿宋" w:hAnsi="仿宋" w:eastAsia="仿宋" w:cs="仿宋"/>
          <w:b/>
          <w:color w:val="auto"/>
          <w:sz w:val="28"/>
          <w:szCs w:val="28"/>
          <w:highlight w:val="none"/>
        </w:rPr>
      </w:pPr>
    </w:p>
    <w:p>
      <w:pPr>
        <w:shd w:val="clear" w:color="auto" w:fill="auto"/>
        <w:spacing w:line="540" w:lineRule="exact"/>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二 分支机构及关联企业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99"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99"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99"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bl>
    <w:p>
      <w:pPr>
        <w:shd w:val="clear" w:color="auto" w:fill="auto"/>
        <w:spacing w:line="540" w:lineRule="exact"/>
        <w:ind w:firstLine="480" w:firstLineChars="200"/>
        <w:rPr>
          <w:rFonts w:ascii="仿宋" w:hAnsi="仿宋" w:eastAsia="仿宋" w:cs="仿宋"/>
          <w:color w:val="auto"/>
          <w:sz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84"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84"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shd w:val="clear" w:color="auto" w:fill="auto"/>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84" w:type="dxa"/>
            <w:noWrap w:val="0"/>
            <w:vAlign w:val="top"/>
          </w:tcPr>
          <w:p>
            <w:pPr>
              <w:shd w:val="clear" w:color="auto" w:fill="auto"/>
              <w:tabs>
                <w:tab w:val="left" w:pos="180"/>
              </w:tabs>
              <w:spacing w:line="540" w:lineRule="exact"/>
              <w:ind w:firstLine="480" w:firstLineChars="200"/>
              <w:rPr>
                <w:rFonts w:ascii="仿宋" w:hAnsi="仿宋" w:eastAsia="仿宋" w:cs="仿宋"/>
                <w:color w:val="auto"/>
                <w:sz w:val="24"/>
                <w:highlight w:val="none"/>
              </w:rPr>
            </w:pPr>
          </w:p>
        </w:tc>
      </w:tr>
    </w:tbl>
    <w:p>
      <w:pPr>
        <w:shd w:val="clear" w:color="auto" w:fill="auto"/>
        <w:spacing w:line="460" w:lineRule="exact"/>
        <w:ind w:firstLine="482" w:firstLineChars="200"/>
        <w:rPr>
          <w:rFonts w:hint="eastAsia" w:ascii="仿宋" w:hAnsi="仿宋" w:eastAsia="仿宋" w:cs="仿宋"/>
          <w:b/>
          <w:color w:val="auto"/>
          <w:sz w:val="24"/>
          <w:highlight w:val="none"/>
        </w:rPr>
      </w:pPr>
    </w:p>
    <w:p>
      <w:pPr>
        <w:pStyle w:val="4"/>
        <w:numPr>
          <w:ilvl w:val="0"/>
          <w:numId w:val="2"/>
        </w:numPr>
        <w:shd w:val="clear" w:color="auto" w:fill="auto"/>
        <w:rPr>
          <w:color w:val="auto"/>
          <w:highlight w:val="none"/>
        </w:rPr>
      </w:pPr>
      <w:bookmarkStart w:id="21" w:name="_Toc10904"/>
      <w:r>
        <w:rPr>
          <w:rFonts w:hint="eastAsia"/>
          <w:color w:val="auto"/>
          <w:highlight w:val="none"/>
        </w:rPr>
        <w:t>其他有必要的资质及补充资料</w:t>
      </w:r>
      <w:bookmarkEnd w:id="21"/>
    </w:p>
    <w:p>
      <w:pPr>
        <w:pStyle w:val="12"/>
        <w:shd w:val="clear" w:color="auto" w:fill="auto"/>
        <w:spacing w:line="560" w:lineRule="exact"/>
        <w:rPr>
          <w:rFonts w:hint="eastAsia" w:ascii="仿宋" w:hAnsi="仿宋" w:eastAsia="仿宋"/>
          <w:color w:val="auto"/>
          <w:highlight w:val="none"/>
        </w:rPr>
      </w:pPr>
      <w:r>
        <w:rPr>
          <w:rFonts w:hint="eastAsia" w:ascii="仿宋" w:hAnsi="仿宋" w:eastAsia="仿宋"/>
          <w:color w:val="auto"/>
          <w:highlight w:val="none"/>
        </w:rPr>
        <w:t>如：企业简介、重大获奖证书等</w:t>
      </w:r>
    </w:p>
    <w:p>
      <w:pPr>
        <w:pStyle w:val="3"/>
        <w:keepLines/>
        <w:widowControl w:val="0"/>
        <w:shd w:val="clear" w:color="auto" w:fill="auto"/>
        <w:tabs>
          <w:tab w:val="clear" w:pos="432"/>
        </w:tabs>
        <w:adjustRightInd w:val="0"/>
        <w:snapToGrid w:val="0"/>
        <w:spacing w:line="360" w:lineRule="auto"/>
        <w:ind w:left="0" w:firstLine="0"/>
        <w:jc w:val="both"/>
        <w:outlineLvl w:val="9"/>
        <w:rPr>
          <w:rFonts w:hint="eastAsia" w:ascii="宋体" w:hAnsi="宋体" w:eastAsia="宋体" w:cs="宋体"/>
          <w:b/>
          <w:color w:val="auto"/>
          <w:sz w:val="30"/>
          <w:szCs w:val="30"/>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440C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hAnsi="Calibri" w:eastAsia="黑体"/>
      <w:kern w:val="0"/>
      <w:sz w:val="52"/>
      <w:szCs w:val="20"/>
    </w:rPr>
  </w:style>
  <w:style w:type="paragraph" w:styleId="4">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paragraph" w:styleId="2">
    <w:name w:val="heading 3"/>
    <w:basedOn w:val="1"/>
    <w:next w:val="1"/>
    <w:qFormat/>
    <w:uiPriority w:val="0"/>
    <w:pPr>
      <w:keepNext/>
      <w:keepLines/>
      <w:spacing w:before="120" w:after="120"/>
      <w:ind w:firstLine="0" w:firstLineChars="0"/>
      <w:outlineLvl w:val="2"/>
    </w:pPr>
    <w:rPr>
      <w:b/>
      <w:bCs/>
      <w:szCs w:val="21"/>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1">
    <w:name w:val="List Paragraph"/>
    <w:basedOn w:val="1"/>
    <w:qFormat/>
    <w:uiPriority w:val="34"/>
    <w:pPr>
      <w:ind w:firstLine="42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2023-07-11T06:21:05Z</dcterms:created>
  <dc:creator>Administrator</dc:creator>
  <cp:lastModifiedBy>Administrator</cp:lastModifiedBy>
  <dcterms:modified xsi:type="dcterms:W3CDTF">2023-07-11T06:22:35Z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6B6E013F8C694A1B95313D267D07CC21_12</vt:lpwstr>
  </property>
</Properties>
</file>