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顺序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左侧胶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eastAsia="zh-CN"/>
        </w:rPr>
        <w:t>装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成册，不得采用活页夹等可随时拆换的方式装订，不得有零散页）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，U盘一份（内</w:t>
      </w:r>
      <w:bookmarkStart w:id="12" w:name="_GoBack"/>
      <w:bookmarkEnd w:id="12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快递封面：“C8-B100ml×9×1（舍得九子迎春小酒礼盒装）纸包材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招标人将通过该邮箱回复报名结果）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28812"/>
      <w:bookmarkStart w:id="3" w:name="_Toc22118"/>
      <w:bookmarkStart w:id="4" w:name="_Toc2040"/>
      <w:bookmarkStart w:id="5" w:name="_Toc4330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00"/>
        <w:gridCol w:w="1150"/>
        <w:gridCol w:w="180"/>
        <w:gridCol w:w="520"/>
        <w:gridCol w:w="133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5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9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0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85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85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4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7717C4B"/>
    <w:rsid w:val="38A112FC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2610</Words>
  <Characters>2646</Characters>
  <Lines>32</Lines>
  <Paragraphs>9</Paragraphs>
  <TotalTime>17</TotalTime>
  <ScaleCrop>false</ScaleCrop>
  <LinksUpToDate>false</LinksUpToDate>
  <CharactersWithSpaces>3902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2023-09-05T01:40:06Z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06AD4F3F8F0D4C2BB8489F659DDA9E1A_13</vt:lpwstr>
  </property>
</Properties>
</file>